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C7844A">
      <w:pPr>
        <w:spacing w:line="580" w:lineRule="exact"/>
        <w:contextualSpacing/>
        <w:rPr>
          <w:rFonts w:eastAsia="黑体"/>
          <w:szCs w:val="32"/>
          <w:lang w:val="zh-CN"/>
        </w:rPr>
      </w:pPr>
      <w:r>
        <w:rPr>
          <w:rFonts w:eastAsia="黑体"/>
          <w:szCs w:val="32"/>
          <w:lang w:val="zh-CN"/>
        </w:rPr>
        <w:t>附件</w:t>
      </w:r>
      <w:r>
        <w:rPr>
          <w:rFonts w:eastAsia="黑体"/>
          <w:szCs w:val="32"/>
        </w:rPr>
        <w:t>2</w:t>
      </w:r>
    </w:p>
    <w:p w14:paraId="612AEC4A">
      <w:pPr>
        <w:widowControl/>
        <w:spacing w:line="580" w:lineRule="exact"/>
        <w:contextualSpacing/>
        <w:rPr>
          <w:rFonts w:eastAsia="宋体"/>
          <w:b/>
          <w:sz w:val="44"/>
          <w:szCs w:val="44"/>
          <w:shd w:val="clear" w:color="auto" w:fill="FFFFFF"/>
        </w:rPr>
      </w:pPr>
    </w:p>
    <w:p w14:paraId="46B7B1D1">
      <w:pPr>
        <w:widowControl/>
        <w:spacing w:line="580" w:lineRule="exact"/>
        <w:contextualSpacing/>
        <w:jc w:val="center"/>
        <w:rPr>
          <w:rFonts w:eastAsia="宋体"/>
          <w:b/>
          <w:sz w:val="44"/>
          <w:szCs w:val="44"/>
          <w:shd w:val="clear" w:color="auto" w:fill="FFFFFF"/>
        </w:rPr>
      </w:pPr>
      <w:r>
        <w:rPr>
          <w:rFonts w:eastAsia="宋体"/>
          <w:b/>
          <w:sz w:val="44"/>
          <w:szCs w:val="44"/>
          <w:shd w:val="clear" w:color="auto" w:fill="FFFFFF"/>
        </w:rPr>
        <w:t>2022</w:t>
      </w:r>
      <w:r>
        <w:rPr>
          <w:rFonts w:hint="eastAsia" w:eastAsia="宋体"/>
          <w:b/>
          <w:sz w:val="44"/>
          <w:szCs w:val="44"/>
          <w:shd w:val="clear" w:color="auto" w:fill="FFFFFF"/>
        </w:rPr>
        <w:t>年度区</w:t>
      </w:r>
      <w:r>
        <w:rPr>
          <w:rFonts w:eastAsia="宋体"/>
          <w:b/>
          <w:sz w:val="44"/>
          <w:szCs w:val="44"/>
          <w:shd w:val="clear" w:color="auto" w:fill="FFFFFF"/>
        </w:rPr>
        <w:t>级部门整体支出</w:t>
      </w:r>
    </w:p>
    <w:p w14:paraId="3C4ADFB2">
      <w:pPr>
        <w:widowControl/>
        <w:spacing w:line="580" w:lineRule="exact"/>
        <w:contextualSpacing/>
        <w:jc w:val="center"/>
        <w:rPr>
          <w:rFonts w:eastAsia="宋体"/>
          <w:b/>
          <w:sz w:val="44"/>
          <w:szCs w:val="44"/>
          <w:shd w:val="clear" w:color="auto" w:fill="FFFFFF"/>
        </w:rPr>
      </w:pPr>
      <w:r>
        <w:rPr>
          <w:rFonts w:eastAsia="宋体"/>
          <w:b/>
          <w:sz w:val="44"/>
          <w:szCs w:val="44"/>
          <w:shd w:val="clear" w:color="auto" w:fill="FFFFFF"/>
        </w:rPr>
        <w:t>绩效评价报告</w:t>
      </w:r>
    </w:p>
    <w:p w14:paraId="1F747101">
      <w:pPr>
        <w:widowControl/>
        <w:adjustRightInd w:val="0"/>
        <w:snapToGrid w:val="0"/>
        <w:spacing w:line="580" w:lineRule="exact"/>
        <w:ind w:firstLine="3360" w:firstLineChars="1400"/>
        <w:contextualSpacing/>
        <w:rPr>
          <w:rFonts w:eastAsia="黑体"/>
          <w:color w:val="000000"/>
          <w:kern w:val="0"/>
          <w:sz w:val="24"/>
          <w:szCs w:val="32"/>
          <w:shd w:val="clear" w:color="auto" w:fill="FFFFFF"/>
        </w:rPr>
      </w:pPr>
      <w:r>
        <w:rPr>
          <w:rFonts w:hint="eastAsia" w:eastAsia="黑体"/>
          <w:color w:val="000000"/>
          <w:kern w:val="0"/>
          <w:sz w:val="24"/>
          <w:szCs w:val="32"/>
          <w:shd w:val="clear" w:color="auto" w:fill="FFFFFF"/>
        </w:rPr>
        <w:t>（攀枝花市第一小学校）</w:t>
      </w:r>
    </w:p>
    <w:p w14:paraId="511FF5D3">
      <w:pPr>
        <w:widowControl/>
        <w:adjustRightInd w:val="0"/>
        <w:snapToGrid w:val="0"/>
        <w:spacing w:line="580" w:lineRule="exact"/>
        <w:ind w:firstLine="640" w:firstLineChars="200"/>
        <w:contextualSpacing/>
        <w:jc w:val="left"/>
        <w:rPr>
          <w:rFonts w:eastAsia="黑体"/>
          <w:color w:val="000000"/>
          <w:kern w:val="0"/>
          <w:szCs w:val="32"/>
          <w:shd w:val="clear" w:color="auto" w:fill="FFFFFF"/>
          <w:lang w:val="zh-CN"/>
        </w:rPr>
      </w:pPr>
      <w:r>
        <w:rPr>
          <w:rFonts w:hint="eastAsia" w:eastAsia="黑体"/>
          <w:color w:val="000000"/>
          <w:kern w:val="0"/>
          <w:szCs w:val="32"/>
          <w:shd w:val="clear" w:color="auto" w:fill="FFFFFF"/>
          <w:lang w:val="zh-CN"/>
        </w:rPr>
        <w:t>一、</w:t>
      </w:r>
      <w:r>
        <w:rPr>
          <w:rFonts w:eastAsia="黑体"/>
          <w:color w:val="000000"/>
          <w:kern w:val="0"/>
          <w:szCs w:val="32"/>
          <w:shd w:val="clear" w:color="auto" w:fill="FFFFFF"/>
          <w:lang w:val="zh-CN"/>
        </w:rPr>
        <w:t>部门（单位）概况</w:t>
      </w:r>
    </w:p>
    <w:p w14:paraId="51879C72">
      <w:pPr>
        <w:pStyle w:val="20"/>
        <w:ind w:left="243" w:firstLine="560" w:firstLineChars="200"/>
        <w:rPr>
          <w:rFonts w:hAnsi="楷体"/>
          <w:sz w:val="28"/>
          <w:szCs w:val="28"/>
        </w:rPr>
      </w:pPr>
      <w:r>
        <w:rPr>
          <w:rFonts w:hint="eastAsia" w:hAnsi="楷体"/>
          <w:sz w:val="28"/>
          <w:szCs w:val="28"/>
        </w:rPr>
        <w:t>攀枝花市第一小学校隶属于攀枝花市东区教育和体育局，是一所全额拨款事业单位。</w:t>
      </w:r>
    </w:p>
    <w:p w14:paraId="188FD607">
      <w:pPr>
        <w:pStyle w:val="17"/>
        <w:widowControl/>
        <w:numPr>
          <w:ilvl w:val="0"/>
          <w:numId w:val="1"/>
        </w:numPr>
        <w:adjustRightInd w:val="0"/>
        <w:snapToGrid w:val="0"/>
        <w:spacing w:line="580" w:lineRule="exact"/>
        <w:ind w:firstLineChars="0"/>
        <w:contextualSpacing/>
        <w:jc w:val="left"/>
        <w:rPr>
          <w:color w:val="000000"/>
          <w:kern w:val="0"/>
          <w:szCs w:val="32"/>
          <w:shd w:val="clear" w:color="auto" w:fill="FFFFFF"/>
          <w:lang w:val="zh-CN"/>
        </w:rPr>
      </w:pPr>
      <w:r>
        <w:rPr>
          <w:color w:val="000000"/>
          <w:kern w:val="0"/>
          <w:szCs w:val="32"/>
          <w:shd w:val="clear" w:color="auto" w:fill="FFFFFF"/>
          <w:lang w:val="zh-CN"/>
        </w:rPr>
        <w:t>机构组成。</w:t>
      </w:r>
    </w:p>
    <w:p w14:paraId="5F2BF09A">
      <w:pPr>
        <w:pStyle w:val="20"/>
        <w:ind w:left="243" w:firstLine="560" w:firstLineChars="200"/>
        <w:rPr>
          <w:rFonts w:hAnsi="楷体"/>
          <w:sz w:val="28"/>
          <w:szCs w:val="28"/>
        </w:rPr>
      </w:pPr>
      <w:r>
        <w:rPr>
          <w:rFonts w:hint="eastAsia" w:hAnsi="楷体"/>
          <w:sz w:val="28"/>
          <w:szCs w:val="28"/>
        </w:rPr>
        <w:t>学校设校长书记1 人，专职副书记1人，副校长2人，工会主席1人。内设机构4个，分别是教导处、德育处、总务处、办公室。</w:t>
      </w:r>
    </w:p>
    <w:p w14:paraId="29B940D1">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（二）机构职能。</w:t>
      </w:r>
    </w:p>
    <w:p w14:paraId="5108C850">
      <w:pPr>
        <w:pStyle w:val="20"/>
        <w:ind w:left="243" w:firstLine="560" w:firstLineChars="200"/>
        <w:rPr>
          <w:rFonts w:hAnsi="楷体"/>
          <w:sz w:val="28"/>
          <w:szCs w:val="28"/>
        </w:rPr>
      </w:pPr>
      <w:r>
        <w:rPr>
          <w:rFonts w:hint="eastAsia" w:hAnsi="楷体"/>
          <w:sz w:val="28"/>
          <w:szCs w:val="28"/>
        </w:rPr>
        <w:t>1．宣传贯彻执行党和国家的教育方针、政策、法律法规等，坚持依法治教、依法治学，贯彻执行教育相关行政规章制度。制定符合党的教育方针和国家教育法律法规以及本校实际的教育发展规划，并抓好组织实施和落实工作。</w:t>
      </w:r>
    </w:p>
    <w:p w14:paraId="6D471133">
      <w:pPr>
        <w:pStyle w:val="20"/>
        <w:ind w:left="243" w:firstLine="560" w:firstLineChars="200"/>
        <w:rPr>
          <w:rFonts w:hAnsi="楷体"/>
          <w:sz w:val="28"/>
          <w:szCs w:val="28"/>
        </w:rPr>
      </w:pPr>
      <w:r>
        <w:rPr>
          <w:rFonts w:hAnsi="楷体"/>
          <w:sz w:val="28"/>
          <w:szCs w:val="28"/>
        </w:rPr>
        <w:t>2</w:t>
      </w:r>
      <w:r>
        <w:rPr>
          <w:rFonts w:hint="eastAsia" w:hAnsi="楷体"/>
          <w:sz w:val="28"/>
          <w:szCs w:val="28"/>
        </w:rPr>
        <w:t>．指导、管理、检查、评价本校的教育教学工作，提高办学质量和办学效益。按照义务教育课程计划，开齐课程，开足课时，认真实施中小学的教育教学管理，全面推进素质教育，全面提高教育教学质量。</w:t>
      </w:r>
    </w:p>
    <w:p w14:paraId="7BEB4350">
      <w:pPr>
        <w:pStyle w:val="20"/>
        <w:ind w:left="243" w:firstLine="560" w:firstLineChars="200"/>
        <w:rPr>
          <w:rFonts w:hAnsi="楷体"/>
          <w:sz w:val="28"/>
          <w:szCs w:val="28"/>
        </w:rPr>
      </w:pPr>
      <w:r>
        <w:rPr>
          <w:rFonts w:hAnsi="楷体"/>
          <w:sz w:val="28"/>
          <w:szCs w:val="28"/>
        </w:rPr>
        <w:t>3</w:t>
      </w:r>
      <w:r>
        <w:rPr>
          <w:rFonts w:hint="eastAsia" w:hAnsi="楷体"/>
          <w:sz w:val="28"/>
          <w:szCs w:val="28"/>
        </w:rPr>
        <w:t>．按照干部和教师的职数、编制和管理权限，负责本校教师人事管理、继续教育、考核考评等工作。加强人事制度改革。完善年度绩效考核、职称评定方案，教师岗位安排合理，教师学历达标100%，完成了区管校用、教师交流、帮扶支教等任务。</w:t>
      </w:r>
    </w:p>
    <w:p w14:paraId="2F655A23">
      <w:pPr>
        <w:pStyle w:val="20"/>
        <w:ind w:leftChars="50" w:firstLineChars="0"/>
        <w:rPr>
          <w:rFonts w:hAnsi="楷体"/>
          <w:sz w:val="28"/>
          <w:szCs w:val="28"/>
        </w:rPr>
      </w:pPr>
      <w:r>
        <w:rPr>
          <w:rFonts w:hAnsi="楷体"/>
          <w:sz w:val="28"/>
          <w:szCs w:val="28"/>
        </w:rPr>
        <w:t>4</w:t>
      </w:r>
      <w:r>
        <w:rPr>
          <w:rFonts w:hint="eastAsia" w:hAnsi="楷体"/>
          <w:sz w:val="28"/>
          <w:szCs w:val="28"/>
        </w:rPr>
        <w:t>．落实学校安全责任制，完善安全工作管理制度，利用行政会、职工大会和校会开展每月一次的安全例会，加强对师生的安全教育培训、安全防范知识学习。</w:t>
      </w:r>
    </w:p>
    <w:p w14:paraId="42F85E5A">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lang w:val="zh-CN"/>
        </w:rPr>
        <w:t>（三）</w:t>
      </w:r>
      <w:r>
        <w:rPr>
          <w:color w:val="000000"/>
          <w:kern w:val="0"/>
          <w:szCs w:val="32"/>
          <w:shd w:val="clear" w:color="auto" w:fill="FFFFFF"/>
          <w:lang w:val="zh-CN"/>
        </w:rPr>
        <w:t>人员概况。</w:t>
      </w:r>
    </w:p>
    <w:p w14:paraId="2E056185">
      <w:pPr>
        <w:widowControl/>
        <w:adjustRightInd w:val="0"/>
        <w:snapToGrid w:val="0"/>
        <w:spacing w:line="580" w:lineRule="exact"/>
        <w:ind w:firstLine="560" w:firstLineChars="200"/>
        <w:contextualSpacing/>
        <w:jc w:val="left"/>
        <w:rPr>
          <w:rFonts w:ascii="仿宋_GB2312" w:hAnsi="楷体" w:cs="仿宋_GB2312"/>
          <w:sz w:val="28"/>
          <w:szCs w:val="28"/>
        </w:rPr>
      </w:pPr>
      <w:r>
        <w:rPr>
          <w:rFonts w:hint="eastAsia" w:ascii="仿宋_GB2312" w:hAnsi="楷体" w:cs="仿宋_GB2312"/>
          <w:sz w:val="28"/>
          <w:szCs w:val="28"/>
        </w:rPr>
        <w:t>学校编制</w:t>
      </w:r>
      <w:r>
        <w:rPr>
          <w:rFonts w:ascii="仿宋_GB2312" w:hAnsi="楷体" w:cs="仿宋_GB2312"/>
          <w:sz w:val="28"/>
          <w:szCs w:val="28"/>
        </w:rPr>
        <w:t>64</w:t>
      </w:r>
      <w:r>
        <w:rPr>
          <w:rFonts w:hint="eastAsia" w:ascii="仿宋_GB2312" w:hAnsi="楷体" w:cs="仿宋_GB2312"/>
          <w:sz w:val="28"/>
          <w:szCs w:val="28"/>
        </w:rPr>
        <w:t>人，202</w:t>
      </w:r>
      <w:r>
        <w:rPr>
          <w:rFonts w:ascii="仿宋_GB2312" w:hAnsi="楷体" w:cs="仿宋_GB2312"/>
          <w:sz w:val="28"/>
          <w:szCs w:val="28"/>
        </w:rPr>
        <w:t>3</w:t>
      </w:r>
      <w:r>
        <w:rPr>
          <w:rFonts w:hint="eastAsia" w:ascii="仿宋_GB2312" w:hAnsi="楷体" w:cs="仿宋_GB2312"/>
          <w:sz w:val="28"/>
          <w:szCs w:val="28"/>
        </w:rPr>
        <w:t>年末实有教职工</w:t>
      </w:r>
      <w:r>
        <w:rPr>
          <w:rFonts w:ascii="仿宋_GB2312" w:hAnsi="楷体" w:cs="仿宋_GB2312"/>
          <w:sz w:val="28"/>
          <w:szCs w:val="28"/>
        </w:rPr>
        <w:t>60</w:t>
      </w:r>
      <w:r>
        <w:rPr>
          <w:rFonts w:hint="eastAsia" w:ascii="仿宋_GB2312" w:hAnsi="楷体" w:cs="仿宋_GB2312"/>
          <w:sz w:val="28"/>
          <w:szCs w:val="28"/>
        </w:rPr>
        <w:t>人，退休职工6</w:t>
      </w:r>
      <w:r>
        <w:rPr>
          <w:rFonts w:ascii="仿宋_GB2312" w:hAnsi="楷体" w:cs="仿宋_GB2312"/>
          <w:sz w:val="28"/>
          <w:szCs w:val="28"/>
        </w:rPr>
        <w:t>5</w:t>
      </w:r>
      <w:r>
        <w:rPr>
          <w:rFonts w:hint="eastAsia" w:ascii="仿宋_GB2312" w:hAnsi="楷体" w:cs="仿宋_GB2312"/>
          <w:sz w:val="28"/>
          <w:szCs w:val="28"/>
        </w:rPr>
        <w:t>人，调入</w:t>
      </w:r>
      <w:r>
        <w:rPr>
          <w:rFonts w:ascii="仿宋_GB2312" w:hAnsi="楷体" w:cs="仿宋_GB2312"/>
          <w:sz w:val="28"/>
          <w:szCs w:val="28"/>
        </w:rPr>
        <w:t>4</w:t>
      </w:r>
      <w:r>
        <w:rPr>
          <w:rFonts w:hint="eastAsia" w:ascii="仿宋_GB2312" w:hAnsi="楷体" w:cs="仿宋_GB2312"/>
          <w:sz w:val="28"/>
          <w:szCs w:val="28"/>
        </w:rPr>
        <w:t>人，调出</w:t>
      </w:r>
      <w:r>
        <w:rPr>
          <w:rFonts w:ascii="仿宋_GB2312" w:hAnsi="楷体" w:cs="仿宋_GB2312"/>
          <w:sz w:val="28"/>
          <w:szCs w:val="28"/>
        </w:rPr>
        <w:t>1</w:t>
      </w:r>
      <w:r>
        <w:rPr>
          <w:rFonts w:hint="eastAsia" w:ascii="仿宋_GB2312" w:hAnsi="楷体" w:cs="仿宋_GB2312"/>
          <w:sz w:val="28"/>
          <w:szCs w:val="28"/>
        </w:rPr>
        <w:t>人。</w:t>
      </w:r>
      <w:r>
        <w:rPr>
          <w:rFonts w:ascii="仿宋_GB2312" w:hAnsi="楷体" w:cs="仿宋_GB2312"/>
          <w:sz w:val="28"/>
          <w:szCs w:val="28"/>
        </w:rPr>
        <w:t>财政临聘人员2人，学校自聘人员</w:t>
      </w:r>
      <w:r>
        <w:rPr>
          <w:rFonts w:hint="eastAsia" w:ascii="仿宋_GB2312" w:hAnsi="楷体" w:cs="仿宋_GB2312"/>
          <w:sz w:val="28"/>
          <w:szCs w:val="28"/>
        </w:rPr>
        <w:t>1</w:t>
      </w:r>
      <w:r>
        <w:rPr>
          <w:rFonts w:ascii="仿宋_GB2312" w:hAnsi="楷体" w:cs="仿宋_GB2312"/>
          <w:sz w:val="28"/>
          <w:szCs w:val="28"/>
        </w:rPr>
        <w:t>5人</w:t>
      </w:r>
      <w:r>
        <w:rPr>
          <w:rFonts w:hint="eastAsia" w:ascii="仿宋_GB2312" w:hAnsi="楷体" w:cs="仿宋_GB2312"/>
          <w:sz w:val="28"/>
          <w:szCs w:val="28"/>
        </w:rPr>
        <w:t>。2</w:t>
      </w:r>
      <w:r>
        <w:rPr>
          <w:rFonts w:ascii="仿宋_GB2312" w:hAnsi="楷体" w:cs="仿宋_GB2312"/>
          <w:sz w:val="28"/>
          <w:szCs w:val="28"/>
        </w:rPr>
        <w:t>6</w:t>
      </w:r>
      <w:r>
        <w:rPr>
          <w:rFonts w:hint="eastAsia" w:ascii="仿宋_GB2312" w:hAnsi="楷体" w:cs="仿宋_GB2312"/>
          <w:sz w:val="28"/>
          <w:szCs w:val="28"/>
        </w:rPr>
        <w:t>个教学班，学生</w:t>
      </w:r>
      <w:r>
        <w:rPr>
          <w:rFonts w:ascii="仿宋_GB2312" w:hAnsi="楷体" w:cs="仿宋_GB2312"/>
          <w:sz w:val="28"/>
          <w:szCs w:val="28"/>
        </w:rPr>
        <w:t>1202</w:t>
      </w:r>
      <w:r>
        <w:rPr>
          <w:rFonts w:hint="eastAsia" w:ascii="仿宋_GB2312" w:hAnsi="楷体" w:cs="仿宋_GB2312"/>
          <w:sz w:val="28"/>
          <w:szCs w:val="28"/>
        </w:rPr>
        <w:t xml:space="preserve">人。 </w:t>
      </w:r>
    </w:p>
    <w:p w14:paraId="4D488706">
      <w:pPr>
        <w:widowControl/>
        <w:adjustRightInd w:val="0"/>
        <w:snapToGrid w:val="0"/>
        <w:spacing w:line="580" w:lineRule="exact"/>
        <w:ind w:firstLine="640" w:firstLineChars="200"/>
        <w:contextualSpacing/>
        <w:jc w:val="left"/>
        <w:rPr>
          <w:rFonts w:eastAsia="黑体"/>
          <w:color w:val="000000"/>
          <w:kern w:val="0"/>
          <w:szCs w:val="32"/>
          <w:shd w:val="clear" w:color="auto" w:fill="FFFFFF"/>
        </w:rPr>
      </w:pPr>
      <w:r>
        <w:rPr>
          <w:rFonts w:eastAsia="黑体"/>
          <w:color w:val="000000"/>
          <w:kern w:val="0"/>
          <w:szCs w:val="32"/>
          <w:shd w:val="clear" w:color="auto" w:fill="FFFFFF"/>
        </w:rPr>
        <w:t>二、部门财政资金收支情况</w:t>
      </w:r>
    </w:p>
    <w:p w14:paraId="6492739B">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（一）部门财政资金收入情况。</w:t>
      </w:r>
    </w:p>
    <w:p w14:paraId="1D1760B6">
      <w:pPr>
        <w:pStyle w:val="20"/>
        <w:ind w:left="243" w:firstLine="560" w:firstLineChars="200"/>
        <w:rPr>
          <w:rFonts w:hAnsi="楷体"/>
          <w:sz w:val="28"/>
          <w:szCs w:val="28"/>
        </w:rPr>
      </w:pPr>
      <w:r>
        <w:rPr>
          <w:rFonts w:hint="eastAsia" w:hAnsi="楷体"/>
          <w:sz w:val="28"/>
          <w:szCs w:val="28"/>
        </w:rPr>
        <w:t>202</w:t>
      </w:r>
      <w:r>
        <w:rPr>
          <w:rFonts w:hAnsi="楷体"/>
          <w:sz w:val="28"/>
          <w:szCs w:val="28"/>
        </w:rPr>
        <w:t>3</w:t>
      </w:r>
      <w:r>
        <w:rPr>
          <w:rFonts w:hint="eastAsia" w:hAnsi="楷体"/>
          <w:sz w:val="28"/>
          <w:szCs w:val="28"/>
        </w:rPr>
        <w:t>年学校财政资金年初预算</w:t>
      </w:r>
      <w:r>
        <w:rPr>
          <w:rFonts w:hAnsi="楷体"/>
          <w:sz w:val="28"/>
          <w:szCs w:val="28"/>
        </w:rPr>
        <w:t>1306</w:t>
      </w:r>
      <w:r>
        <w:rPr>
          <w:rFonts w:hint="eastAsia" w:hAnsi="楷体"/>
          <w:sz w:val="28"/>
          <w:szCs w:val="28"/>
        </w:rPr>
        <w:t>.</w:t>
      </w:r>
      <w:r>
        <w:rPr>
          <w:rFonts w:hAnsi="楷体"/>
          <w:sz w:val="28"/>
          <w:szCs w:val="28"/>
        </w:rPr>
        <w:t>81</w:t>
      </w:r>
      <w:r>
        <w:rPr>
          <w:rFonts w:hint="eastAsia" w:hAnsi="楷体"/>
          <w:sz w:val="28"/>
          <w:szCs w:val="28"/>
        </w:rPr>
        <w:t>万元，全年实际预算收入</w:t>
      </w:r>
      <w:r>
        <w:rPr>
          <w:rFonts w:hAnsi="楷体"/>
          <w:sz w:val="28"/>
          <w:szCs w:val="28"/>
        </w:rPr>
        <w:t>1317</w:t>
      </w:r>
      <w:r>
        <w:rPr>
          <w:rFonts w:hint="eastAsia" w:hAnsi="楷体"/>
          <w:sz w:val="28"/>
          <w:szCs w:val="28"/>
        </w:rPr>
        <w:t>.</w:t>
      </w:r>
      <w:r>
        <w:rPr>
          <w:rFonts w:hAnsi="楷体"/>
          <w:sz w:val="28"/>
          <w:szCs w:val="28"/>
        </w:rPr>
        <w:t>27</w:t>
      </w:r>
      <w:r>
        <w:rPr>
          <w:rFonts w:hint="eastAsia" w:hAnsi="楷体"/>
          <w:sz w:val="28"/>
          <w:szCs w:val="28"/>
        </w:rPr>
        <w:t>万元，其中一般公共预算拨款</w:t>
      </w:r>
      <w:r>
        <w:rPr>
          <w:rFonts w:hAnsi="楷体"/>
          <w:sz w:val="28"/>
          <w:szCs w:val="28"/>
        </w:rPr>
        <w:t>1312</w:t>
      </w:r>
      <w:r>
        <w:rPr>
          <w:rFonts w:hint="eastAsia" w:hAnsi="楷体"/>
          <w:sz w:val="28"/>
          <w:szCs w:val="28"/>
        </w:rPr>
        <w:t>.</w:t>
      </w:r>
      <w:r>
        <w:rPr>
          <w:rFonts w:hAnsi="楷体"/>
          <w:sz w:val="28"/>
          <w:szCs w:val="28"/>
        </w:rPr>
        <w:t>27</w:t>
      </w:r>
      <w:r>
        <w:rPr>
          <w:rFonts w:hint="eastAsia" w:hAnsi="楷体"/>
          <w:sz w:val="28"/>
          <w:szCs w:val="28"/>
        </w:rPr>
        <w:t>万元，上年结转和结余资金5.</w:t>
      </w:r>
      <w:r>
        <w:rPr>
          <w:rFonts w:hAnsi="楷体"/>
          <w:sz w:val="28"/>
          <w:szCs w:val="28"/>
        </w:rPr>
        <w:t>00</w:t>
      </w:r>
      <w:r>
        <w:rPr>
          <w:rFonts w:hint="eastAsia" w:hAnsi="楷体"/>
          <w:sz w:val="28"/>
          <w:szCs w:val="28"/>
        </w:rPr>
        <w:t>万元。</w:t>
      </w:r>
    </w:p>
    <w:p w14:paraId="193C30D6">
      <w:pPr>
        <w:pStyle w:val="17"/>
        <w:widowControl/>
        <w:numPr>
          <w:ilvl w:val="0"/>
          <w:numId w:val="1"/>
        </w:numPr>
        <w:adjustRightInd w:val="0"/>
        <w:snapToGrid w:val="0"/>
        <w:spacing w:line="580" w:lineRule="exact"/>
        <w:ind w:firstLineChars="0"/>
        <w:contextualSpacing/>
        <w:jc w:val="left"/>
        <w:rPr>
          <w:color w:val="000000"/>
          <w:kern w:val="0"/>
          <w:szCs w:val="32"/>
          <w:shd w:val="clear" w:color="auto" w:fill="FFFFFF"/>
          <w:lang w:val="zh-CN"/>
        </w:rPr>
      </w:pPr>
      <w:r>
        <w:rPr>
          <w:color w:val="000000"/>
          <w:kern w:val="0"/>
          <w:szCs w:val="32"/>
          <w:shd w:val="clear" w:color="auto" w:fill="FFFFFF"/>
          <w:lang w:val="zh-CN"/>
        </w:rPr>
        <w:t>部门财政资金支出情况。</w:t>
      </w:r>
    </w:p>
    <w:p w14:paraId="311CFA05">
      <w:pPr>
        <w:pStyle w:val="20"/>
        <w:ind w:left="243" w:firstLine="560" w:firstLineChars="200"/>
        <w:rPr>
          <w:rFonts w:hAnsi="楷体"/>
          <w:sz w:val="28"/>
          <w:szCs w:val="28"/>
        </w:rPr>
      </w:pPr>
      <w:r>
        <w:rPr>
          <w:rFonts w:hint="eastAsia" w:hAnsi="楷体"/>
          <w:sz w:val="28"/>
          <w:szCs w:val="28"/>
        </w:rPr>
        <w:t>1、基本支出安排及使用情况</w:t>
      </w:r>
    </w:p>
    <w:p w14:paraId="3FB07087">
      <w:pPr>
        <w:pStyle w:val="20"/>
        <w:ind w:left="243" w:firstLine="560" w:firstLineChars="200"/>
        <w:rPr>
          <w:rFonts w:hAnsi="楷体"/>
          <w:sz w:val="28"/>
          <w:szCs w:val="28"/>
        </w:rPr>
      </w:pPr>
      <w:r>
        <w:rPr>
          <w:rFonts w:hint="eastAsia" w:hAnsi="楷体"/>
          <w:sz w:val="28"/>
          <w:szCs w:val="28"/>
        </w:rPr>
        <w:t>基本支出是保障我校正常运转、完成日常工作任务而发生的各项支出，包括用于在职和离退休人员基本工资、津贴补贴等人员经费以及办公费、印刷费、水电费、邮电费等日常公用经费。攀枝花市第一小学校202</w:t>
      </w:r>
      <w:r>
        <w:rPr>
          <w:rFonts w:hAnsi="楷体"/>
          <w:sz w:val="28"/>
          <w:szCs w:val="28"/>
        </w:rPr>
        <w:t>3</w:t>
      </w:r>
      <w:r>
        <w:rPr>
          <w:rFonts w:hint="eastAsia" w:hAnsi="楷体"/>
          <w:sz w:val="28"/>
          <w:szCs w:val="28"/>
        </w:rPr>
        <w:t>年当年基本支出财政拨款为1</w:t>
      </w:r>
      <w:r>
        <w:rPr>
          <w:rFonts w:hAnsi="楷体"/>
          <w:sz w:val="28"/>
          <w:szCs w:val="28"/>
        </w:rPr>
        <w:t>169</w:t>
      </w:r>
      <w:r>
        <w:rPr>
          <w:rFonts w:hint="eastAsia" w:hAnsi="楷体"/>
          <w:sz w:val="28"/>
          <w:szCs w:val="28"/>
        </w:rPr>
        <w:t>.</w:t>
      </w:r>
      <w:r>
        <w:rPr>
          <w:rFonts w:hAnsi="楷体"/>
          <w:sz w:val="28"/>
          <w:szCs w:val="28"/>
        </w:rPr>
        <w:t>46</w:t>
      </w:r>
      <w:r>
        <w:rPr>
          <w:rFonts w:hint="eastAsia" w:hAnsi="楷体"/>
          <w:sz w:val="28"/>
          <w:szCs w:val="28"/>
        </w:rPr>
        <w:t>万元。具体情况如下：</w:t>
      </w:r>
    </w:p>
    <w:p w14:paraId="6ED9B54B">
      <w:pPr>
        <w:pStyle w:val="20"/>
        <w:ind w:left="243" w:firstLine="560" w:firstLineChars="200"/>
        <w:rPr>
          <w:rFonts w:hAnsi="楷体"/>
          <w:sz w:val="28"/>
          <w:szCs w:val="28"/>
        </w:rPr>
      </w:pPr>
      <w:r>
        <w:rPr>
          <w:rFonts w:hint="eastAsia" w:hAnsi="楷体"/>
          <w:sz w:val="28"/>
          <w:szCs w:val="28"/>
        </w:rPr>
        <w:t>（1）人员支出</w:t>
      </w:r>
      <w:r>
        <w:rPr>
          <w:rFonts w:hAnsi="楷体"/>
          <w:sz w:val="28"/>
          <w:szCs w:val="28"/>
        </w:rPr>
        <w:t>1092</w:t>
      </w:r>
      <w:r>
        <w:rPr>
          <w:rFonts w:hint="eastAsia" w:hAnsi="楷体"/>
          <w:sz w:val="28"/>
          <w:szCs w:val="28"/>
        </w:rPr>
        <w:t>.</w:t>
      </w:r>
      <w:r>
        <w:rPr>
          <w:rFonts w:hAnsi="楷体"/>
          <w:sz w:val="28"/>
          <w:szCs w:val="28"/>
        </w:rPr>
        <w:t>30</w:t>
      </w:r>
      <w:r>
        <w:rPr>
          <w:rFonts w:hint="eastAsia" w:hAnsi="楷体"/>
          <w:sz w:val="28"/>
          <w:szCs w:val="28"/>
        </w:rPr>
        <w:t>万元，主要用于在职人员工资福利支出。</w:t>
      </w:r>
    </w:p>
    <w:p w14:paraId="310CFEAD">
      <w:pPr>
        <w:pStyle w:val="20"/>
        <w:ind w:left="243" w:firstLine="560" w:firstLineChars="200"/>
        <w:rPr>
          <w:rFonts w:hAnsi="楷体"/>
          <w:sz w:val="28"/>
          <w:szCs w:val="28"/>
        </w:rPr>
      </w:pPr>
      <w:r>
        <w:rPr>
          <w:rFonts w:hint="eastAsia" w:hAnsi="楷体"/>
          <w:sz w:val="28"/>
          <w:szCs w:val="28"/>
        </w:rPr>
        <w:t>（2）日常公用经费</w:t>
      </w:r>
      <w:r>
        <w:rPr>
          <w:rFonts w:hAnsi="楷体"/>
          <w:sz w:val="28"/>
          <w:szCs w:val="28"/>
        </w:rPr>
        <w:t>14.21</w:t>
      </w:r>
      <w:r>
        <w:rPr>
          <w:rFonts w:hint="eastAsia" w:hAnsi="楷体"/>
          <w:sz w:val="28"/>
          <w:szCs w:val="28"/>
        </w:rPr>
        <w:t>万元，主要为办公费、工会等日常支出。</w:t>
      </w:r>
    </w:p>
    <w:p w14:paraId="210708A5">
      <w:pPr>
        <w:pStyle w:val="20"/>
        <w:ind w:left="243" w:firstLine="560" w:firstLineChars="200"/>
        <w:rPr>
          <w:rFonts w:hAnsi="楷体"/>
          <w:sz w:val="28"/>
          <w:szCs w:val="28"/>
        </w:rPr>
      </w:pPr>
      <w:r>
        <w:rPr>
          <w:rFonts w:hint="eastAsia" w:hAnsi="楷体"/>
          <w:sz w:val="28"/>
          <w:szCs w:val="28"/>
        </w:rPr>
        <w:t>（3）对个人和家庭的补助</w:t>
      </w:r>
      <w:r>
        <w:rPr>
          <w:rFonts w:hAnsi="楷体"/>
          <w:sz w:val="28"/>
          <w:szCs w:val="28"/>
        </w:rPr>
        <w:t>62</w:t>
      </w:r>
      <w:r>
        <w:rPr>
          <w:rFonts w:hint="eastAsia" w:hAnsi="楷体"/>
          <w:sz w:val="28"/>
          <w:szCs w:val="28"/>
        </w:rPr>
        <w:t>.</w:t>
      </w:r>
      <w:r>
        <w:rPr>
          <w:rFonts w:hAnsi="楷体"/>
          <w:sz w:val="28"/>
          <w:szCs w:val="28"/>
        </w:rPr>
        <w:t>95</w:t>
      </w:r>
      <w:r>
        <w:rPr>
          <w:rFonts w:hint="eastAsia" w:hAnsi="楷体"/>
          <w:sz w:val="28"/>
          <w:szCs w:val="28"/>
        </w:rPr>
        <w:t>万元，主要用于退休人员经费。</w:t>
      </w:r>
    </w:p>
    <w:p w14:paraId="2E0C251E">
      <w:pPr>
        <w:pStyle w:val="20"/>
        <w:ind w:left="243" w:firstLine="560" w:firstLineChars="200"/>
        <w:rPr>
          <w:rFonts w:hAnsi="楷体"/>
          <w:sz w:val="28"/>
          <w:szCs w:val="28"/>
        </w:rPr>
      </w:pPr>
      <w:r>
        <w:rPr>
          <w:rFonts w:hint="eastAsia" w:hAnsi="楷体"/>
          <w:sz w:val="28"/>
          <w:szCs w:val="28"/>
        </w:rPr>
        <w:t>2、项目支出安排及使用情况</w:t>
      </w:r>
    </w:p>
    <w:p w14:paraId="50698166">
      <w:pPr>
        <w:pStyle w:val="20"/>
        <w:ind w:left="243" w:firstLine="560" w:firstLineChars="200"/>
        <w:rPr>
          <w:rFonts w:hAnsi="楷体"/>
          <w:sz w:val="28"/>
          <w:szCs w:val="28"/>
        </w:rPr>
      </w:pPr>
      <w:r>
        <w:rPr>
          <w:rFonts w:hint="eastAsia" w:hAnsi="楷体"/>
          <w:sz w:val="28"/>
          <w:szCs w:val="28"/>
        </w:rPr>
        <w:t>项目支出是学校完成日常特定工作任务而发生的各项支出，包括用于学校自聘人员的劳务及社会保险费用的教育事业发展费等公用经费、“三区人才”经费、“三免一补”免学生作业本费、中央直达转移资金等。攀枝花市第一小学校2</w:t>
      </w:r>
      <w:r>
        <w:rPr>
          <w:rFonts w:hAnsi="楷体"/>
          <w:sz w:val="28"/>
          <w:szCs w:val="28"/>
        </w:rPr>
        <w:t>023</w:t>
      </w:r>
      <w:r>
        <w:rPr>
          <w:rFonts w:hint="eastAsia" w:hAnsi="楷体"/>
          <w:sz w:val="28"/>
          <w:szCs w:val="28"/>
        </w:rPr>
        <w:t>年当年项目支出财政拨款为1</w:t>
      </w:r>
      <w:r>
        <w:rPr>
          <w:rFonts w:hAnsi="楷体"/>
          <w:sz w:val="28"/>
          <w:szCs w:val="28"/>
        </w:rPr>
        <w:t>42.81</w:t>
      </w:r>
      <w:r>
        <w:rPr>
          <w:rFonts w:hint="eastAsia" w:hAnsi="楷体"/>
          <w:sz w:val="28"/>
          <w:szCs w:val="28"/>
        </w:rPr>
        <w:t>万元。具体情况如下：</w:t>
      </w:r>
    </w:p>
    <w:p w14:paraId="7F50C5BE">
      <w:pPr>
        <w:pStyle w:val="20"/>
        <w:ind w:leftChars="50" w:firstLine="798" w:firstLineChars="285"/>
        <w:rPr>
          <w:rFonts w:hAnsi="楷体"/>
          <w:sz w:val="28"/>
          <w:szCs w:val="28"/>
        </w:rPr>
      </w:pPr>
      <w:r>
        <w:rPr>
          <w:rFonts w:hint="eastAsia" w:hAnsi="楷体"/>
          <w:sz w:val="28"/>
          <w:szCs w:val="28"/>
        </w:rPr>
        <w:t>（1）用于日常公用经费8</w:t>
      </w:r>
      <w:r>
        <w:rPr>
          <w:rFonts w:hAnsi="楷体"/>
          <w:sz w:val="28"/>
          <w:szCs w:val="28"/>
        </w:rPr>
        <w:t>5.49</w:t>
      </w:r>
      <w:r>
        <w:rPr>
          <w:rFonts w:hint="eastAsia" w:hAnsi="楷体"/>
          <w:sz w:val="28"/>
          <w:szCs w:val="28"/>
        </w:rPr>
        <w:t>万元，主要为办公费、水电费等日常支出。</w:t>
      </w:r>
    </w:p>
    <w:p w14:paraId="751CE24E">
      <w:pPr>
        <w:pStyle w:val="20"/>
        <w:ind w:left="243" w:firstLine="560" w:firstLineChars="200"/>
        <w:rPr>
          <w:rFonts w:hAnsi="楷体"/>
          <w:sz w:val="28"/>
          <w:szCs w:val="28"/>
        </w:rPr>
      </w:pPr>
      <w:r>
        <w:rPr>
          <w:rFonts w:hint="eastAsia" w:hAnsi="楷体"/>
          <w:sz w:val="28"/>
          <w:szCs w:val="28"/>
        </w:rPr>
        <w:t xml:space="preserve"> （2）用于学校自聘人员等劳务费及社会保险费用</w:t>
      </w:r>
      <w:r>
        <w:rPr>
          <w:rFonts w:hAnsi="楷体"/>
          <w:sz w:val="28"/>
          <w:szCs w:val="28"/>
        </w:rPr>
        <w:t>53.94</w:t>
      </w:r>
      <w:r>
        <w:rPr>
          <w:rFonts w:hint="eastAsia" w:hAnsi="楷体"/>
          <w:sz w:val="28"/>
          <w:szCs w:val="28"/>
        </w:rPr>
        <w:t>万元。</w:t>
      </w:r>
    </w:p>
    <w:p w14:paraId="7F53A0AC">
      <w:pPr>
        <w:pStyle w:val="20"/>
        <w:ind w:left="243" w:firstLine="560" w:firstLineChars="200"/>
        <w:rPr>
          <w:rFonts w:hAnsi="楷体"/>
          <w:sz w:val="28"/>
          <w:szCs w:val="28"/>
        </w:rPr>
      </w:pPr>
      <w:r>
        <w:rPr>
          <w:rFonts w:hint="eastAsia" w:hAnsi="楷体"/>
          <w:sz w:val="28"/>
          <w:szCs w:val="28"/>
        </w:rPr>
        <w:t xml:space="preserve"> （</w:t>
      </w:r>
      <w:r>
        <w:rPr>
          <w:rFonts w:hAnsi="楷体"/>
          <w:sz w:val="28"/>
          <w:szCs w:val="28"/>
        </w:rPr>
        <w:t>3</w:t>
      </w:r>
      <w:r>
        <w:rPr>
          <w:rFonts w:hint="eastAsia" w:hAnsi="楷体"/>
          <w:sz w:val="28"/>
          <w:szCs w:val="28"/>
        </w:rPr>
        <w:t>）用于学生“三免一补”的免作业本费用</w:t>
      </w:r>
      <w:r>
        <w:rPr>
          <w:rFonts w:hAnsi="楷体"/>
          <w:sz w:val="28"/>
          <w:szCs w:val="28"/>
        </w:rPr>
        <w:t>1.63</w:t>
      </w:r>
      <w:r>
        <w:rPr>
          <w:rFonts w:hint="eastAsia" w:hAnsi="楷体"/>
          <w:sz w:val="28"/>
          <w:szCs w:val="28"/>
        </w:rPr>
        <w:t>万元。</w:t>
      </w:r>
    </w:p>
    <w:p w14:paraId="49B1D16B">
      <w:pPr>
        <w:pStyle w:val="20"/>
        <w:ind w:leftChars="50" w:firstLine="798" w:firstLineChars="285"/>
        <w:rPr>
          <w:rFonts w:hAnsi="楷体"/>
          <w:sz w:val="28"/>
          <w:szCs w:val="28"/>
        </w:rPr>
      </w:pPr>
      <w:r>
        <w:rPr>
          <w:rFonts w:hint="eastAsia" w:hAnsi="楷体"/>
          <w:sz w:val="28"/>
          <w:szCs w:val="28"/>
        </w:rPr>
        <w:t>（</w:t>
      </w:r>
      <w:r>
        <w:rPr>
          <w:rFonts w:hAnsi="楷体"/>
          <w:sz w:val="28"/>
          <w:szCs w:val="28"/>
        </w:rPr>
        <w:t>4</w:t>
      </w:r>
      <w:r>
        <w:rPr>
          <w:rFonts w:hint="eastAsia" w:hAnsi="楷体"/>
          <w:sz w:val="28"/>
          <w:szCs w:val="28"/>
        </w:rPr>
        <w:t>）用于学生“三区人才”支教交流费用</w:t>
      </w:r>
      <w:r>
        <w:rPr>
          <w:rFonts w:hAnsi="楷体"/>
          <w:sz w:val="28"/>
          <w:szCs w:val="28"/>
        </w:rPr>
        <w:t>0.4</w:t>
      </w:r>
      <w:r>
        <w:rPr>
          <w:rFonts w:hint="eastAsia" w:hAnsi="楷体"/>
          <w:sz w:val="28"/>
          <w:szCs w:val="28"/>
        </w:rPr>
        <w:t>万元。</w:t>
      </w:r>
    </w:p>
    <w:p w14:paraId="5FB93FF4">
      <w:pPr>
        <w:pStyle w:val="20"/>
        <w:ind w:leftChars="50" w:firstLine="798" w:firstLineChars="285"/>
        <w:rPr>
          <w:rFonts w:hAnsi="楷体"/>
          <w:sz w:val="28"/>
          <w:szCs w:val="28"/>
        </w:rPr>
      </w:pPr>
      <w:r>
        <w:rPr>
          <w:rFonts w:hint="eastAsia" w:hAnsi="楷体"/>
          <w:sz w:val="28"/>
          <w:szCs w:val="28"/>
        </w:rPr>
        <w:t>（</w:t>
      </w:r>
      <w:r>
        <w:rPr>
          <w:rFonts w:hAnsi="楷体"/>
          <w:sz w:val="28"/>
          <w:szCs w:val="28"/>
        </w:rPr>
        <w:t>5</w:t>
      </w:r>
      <w:r>
        <w:rPr>
          <w:rFonts w:hint="eastAsia" w:hAnsi="楷体"/>
          <w:sz w:val="28"/>
          <w:szCs w:val="28"/>
        </w:rPr>
        <w:t>）用于学生“体育竟赛”的费用</w:t>
      </w:r>
      <w:r>
        <w:rPr>
          <w:rFonts w:hAnsi="楷体"/>
          <w:sz w:val="28"/>
          <w:szCs w:val="28"/>
        </w:rPr>
        <w:t>1.35</w:t>
      </w:r>
      <w:r>
        <w:rPr>
          <w:rFonts w:hint="eastAsia" w:hAnsi="楷体"/>
          <w:sz w:val="28"/>
          <w:szCs w:val="28"/>
        </w:rPr>
        <w:t>万元。</w:t>
      </w:r>
    </w:p>
    <w:p w14:paraId="58898EBD">
      <w:pPr>
        <w:widowControl/>
        <w:adjustRightInd w:val="0"/>
        <w:snapToGrid w:val="0"/>
        <w:spacing w:line="580" w:lineRule="exact"/>
        <w:ind w:firstLine="640" w:firstLineChars="200"/>
        <w:contextualSpacing/>
        <w:jc w:val="left"/>
        <w:rPr>
          <w:rFonts w:eastAsia="黑体"/>
          <w:color w:val="000000"/>
          <w:kern w:val="0"/>
          <w:szCs w:val="32"/>
          <w:shd w:val="clear" w:color="auto" w:fill="FFFFFF"/>
        </w:rPr>
      </w:pPr>
      <w:r>
        <w:rPr>
          <w:rFonts w:eastAsia="黑体"/>
          <w:color w:val="000000"/>
          <w:kern w:val="0"/>
          <w:szCs w:val="32"/>
          <w:shd w:val="clear" w:color="auto" w:fill="FFFFFF"/>
        </w:rPr>
        <w:t>三、部门整体预算绩效管理情况（根据适用指标体系进行调整）</w:t>
      </w:r>
    </w:p>
    <w:p w14:paraId="3035C127">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（一）部门预算项目绩效管理</w:t>
      </w:r>
      <w:r>
        <w:rPr>
          <w:rFonts w:hint="eastAsia"/>
          <w:color w:val="000000"/>
          <w:kern w:val="0"/>
          <w:szCs w:val="32"/>
          <w:shd w:val="clear" w:color="auto" w:fill="FFFFFF"/>
          <w:lang w:val="zh-CN"/>
        </w:rPr>
        <w:t>4</w:t>
      </w:r>
      <w:r>
        <w:rPr>
          <w:color w:val="000000"/>
          <w:kern w:val="0"/>
          <w:szCs w:val="32"/>
          <w:shd w:val="clear" w:color="auto" w:fill="FFFFFF"/>
          <w:lang w:val="zh-CN"/>
        </w:rPr>
        <w:t>0</w:t>
      </w:r>
      <w:r>
        <w:rPr>
          <w:rFonts w:hint="eastAsia"/>
          <w:color w:val="000000"/>
          <w:kern w:val="0"/>
          <w:szCs w:val="32"/>
          <w:shd w:val="clear" w:color="auto" w:fill="FFFFFF"/>
          <w:lang w:val="zh-CN"/>
        </w:rPr>
        <w:t>分，自评得分3</w:t>
      </w:r>
      <w:r>
        <w:rPr>
          <w:color w:val="000000"/>
          <w:kern w:val="0"/>
          <w:szCs w:val="32"/>
          <w:shd w:val="clear" w:color="auto" w:fill="FFFFFF"/>
          <w:lang w:val="zh-CN"/>
        </w:rPr>
        <w:t>8</w:t>
      </w:r>
      <w:r>
        <w:rPr>
          <w:rFonts w:hint="eastAsia"/>
          <w:color w:val="000000"/>
          <w:kern w:val="0"/>
          <w:szCs w:val="32"/>
          <w:shd w:val="clear" w:color="auto" w:fill="FFFFFF"/>
          <w:lang w:val="zh-CN"/>
        </w:rPr>
        <w:t>分</w:t>
      </w:r>
      <w:r>
        <w:rPr>
          <w:color w:val="000000"/>
          <w:kern w:val="0"/>
          <w:szCs w:val="32"/>
          <w:shd w:val="clear" w:color="auto" w:fill="FFFFFF"/>
          <w:lang w:val="zh-CN"/>
        </w:rPr>
        <w:t>。</w:t>
      </w:r>
    </w:p>
    <w:p w14:paraId="4E27650B">
      <w:pPr>
        <w:pStyle w:val="20"/>
        <w:ind w:left="243" w:firstLine="560" w:firstLineChars="200"/>
        <w:rPr>
          <w:rFonts w:hAnsi="楷体"/>
          <w:sz w:val="28"/>
          <w:szCs w:val="28"/>
        </w:rPr>
      </w:pPr>
      <w:r>
        <w:rPr>
          <w:rFonts w:hAnsi="楷体"/>
          <w:sz w:val="28"/>
          <w:szCs w:val="28"/>
        </w:rPr>
        <w:t>部门绩效目标制定</w:t>
      </w:r>
      <w:r>
        <w:rPr>
          <w:rFonts w:hint="eastAsia" w:hAnsi="楷体"/>
          <w:sz w:val="28"/>
          <w:szCs w:val="28"/>
        </w:rPr>
        <w:t>、目标实现方面，学校2</w:t>
      </w:r>
      <w:r>
        <w:rPr>
          <w:rFonts w:hAnsi="楷体"/>
          <w:sz w:val="28"/>
          <w:szCs w:val="28"/>
        </w:rPr>
        <w:t>023</w:t>
      </w:r>
      <w:r>
        <w:rPr>
          <w:rFonts w:hint="eastAsia" w:hAnsi="楷体"/>
          <w:sz w:val="28"/>
          <w:szCs w:val="28"/>
        </w:rPr>
        <w:t>年预算按人员类是</w:t>
      </w:r>
      <w:r>
        <w:rPr>
          <w:rFonts w:hAnsi="楷体"/>
          <w:sz w:val="28"/>
          <w:szCs w:val="28"/>
        </w:rPr>
        <w:t>1142.69</w:t>
      </w:r>
      <w:r>
        <w:rPr>
          <w:rFonts w:hint="eastAsia" w:hAnsi="楷体"/>
          <w:sz w:val="28"/>
          <w:szCs w:val="28"/>
        </w:rPr>
        <w:t>万元，运转类是</w:t>
      </w:r>
      <w:r>
        <w:rPr>
          <w:rFonts w:hAnsi="楷体"/>
          <w:sz w:val="28"/>
          <w:szCs w:val="28"/>
        </w:rPr>
        <w:t>95.74</w:t>
      </w:r>
      <w:r>
        <w:rPr>
          <w:rFonts w:hint="eastAsia" w:hAnsi="楷体"/>
          <w:sz w:val="28"/>
          <w:szCs w:val="28"/>
        </w:rPr>
        <w:t>万元，特定目标类6</w:t>
      </w:r>
      <w:r>
        <w:rPr>
          <w:rFonts w:hAnsi="楷体"/>
          <w:sz w:val="28"/>
          <w:szCs w:val="28"/>
        </w:rPr>
        <w:t>8.38</w:t>
      </w:r>
      <w:r>
        <w:rPr>
          <w:rFonts w:hint="eastAsia" w:hAnsi="楷体"/>
          <w:sz w:val="28"/>
          <w:szCs w:val="28"/>
        </w:rPr>
        <w:t>万元。人员类、运转类是完成了预算，特定目标类未能完成预算，主要是因学校商铺经营困难房租费没能按时全部收缴上来，影响了预算支出。在支出控制、及时处置、执行进度等都按要求完成，资金结余率（低效无效率）方面，学校本年度很低，无违规情况。具体分析如下：</w:t>
      </w:r>
    </w:p>
    <w:p w14:paraId="7A66CA76">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lang w:val="zh-CN"/>
        </w:rPr>
        <w:t>1．目标管理15分，自评得分14分</w:t>
      </w:r>
    </w:p>
    <w:p w14:paraId="54720CA6">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lang w:val="zh-CN"/>
        </w:rPr>
        <w:t>目标制定：要素完整，通过了学校办公会集体决策，具有可实现性；</w:t>
      </w:r>
    </w:p>
    <w:p w14:paraId="365C18D8">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lang w:val="zh-CN"/>
        </w:rPr>
        <w:t>目标实现：预算项目全部实现目标值，特定目标类项目未完成全部目标值，自评未得满分；</w:t>
      </w:r>
    </w:p>
    <w:p w14:paraId="0631D676">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lang w:val="zh-CN"/>
        </w:rPr>
        <w:t>2．动态调整10分，自评得分</w:t>
      </w:r>
      <w:r>
        <w:rPr>
          <w:color w:val="000000"/>
          <w:kern w:val="0"/>
          <w:szCs w:val="32"/>
          <w:shd w:val="clear" w:color="auto" w:fill="FFFFFF"/>
          <w:lang w:val="zh-CN"/>
        </w:rPr>
        <w:t>10</w:t>
      </w:r>
      <w:r>
        <w:rPr>
          <w:rFonts w:hint="eastAsia"/>
          <w:color w:val="000000"/>
          <w:kern w:val="0"/>
          <w:szCs w:val="32"/>
          <w:shd w:val="clear" w:color="auto" w:fill="FFFFFF"/>
          <w:lang w:val="zh-CN"/>
        </w:rPr>
        <w:t>分</w:t>
      </w:r>
    </w:p>
    <w:p w14:paraId="40FD24FD">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lang w:val="zh-CN"/>
        </w:rPr>
        <w:t>支出控制：年终决算数中“办公费”、“差旅费”等与年初预算偏差不大，自评得满分；</w:t>
      </w:r>
    </w:p>
    <w:p w14:paraId="4A80D99F">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lang w:val="zh-CN"/>
        </w:rPr>
        <w:t>及时处置：在公用经费支出中出现偏差时，及时向财政部门进行资金调整申请，使公用经费总体支出无偏差；</w:t>
      </w:r>
    </w:p>
    <w:p w14:paraId="4C298F30">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lang w:val="zh-CN"/>
        </w:rPr>
        <w:t>执行进度：参照年初预算数，控制全年支出进度，基本达到量化指标；</w:t>
      </w:r>
    </w:p>
    <w:p w14:paraId="716709E3">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lang w:val="zh-CN"/>
        </w:rPr>
        <w:t>3．完成效率15分：自评得分1</w:t>
      </w:r>
      <w:r>
        <w:rPr>
          <w:color w:val="000000"/>
          <w:kern w:val="0"/>
          <w:szCs w:val="32"/>
          <w:shd w:val="clear" w:color="auto" w:fill="FFFFFF"/>
          <w:lang w:val="zh-CN"/>
        </w:rPr>
        <w:t>4</w:t>
      </w:r>
      <w:r>
        <w:rPr>
          <w:rFonts w:hint="eastAsia"/>
          <w:color w:val="000000"/>
          <w:kern w:val="0"/>
          <w:szCs w:val="32"/>
          <w:shd w:val="clear" w:color="auto" w:fill="FFFFFF"/>
          <w:lang w:val="zh-CN"/>
        </w:rPr>
        <w:t>分</w:t>
      </w:r>
    </w:p>
    <w:p w14:paraId="18F3476C">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lang w:val="zh-CN"/>
        </w:rPr>
        <w:t>预算完成：特定目标类项目年初预算6</w:t>
      </w:r>
      <w:r>
        <w:rPr>
          <w:color w:val="000000"/>
          <w:kern w:val="0"/>
          <w:szCs w:val="32"/>
          <w:shd w:val="clear" w:color="auto" w:fill="FFFFFF"/>
          <w:lang w:val="zh-CN"/>
        </w:rPr>
        <w:t>8</w:t>
      </w:r>
      <w:r>
        <w:rPr>
          <w:rFonts w:hint="eastAsia"/>
          <w:color w:val="000000"/>
          <w:kern w:val="0"/>
          <w:szCs w:val="32"/>
          <w:shd w:val="clear" w:color="auto" w:fill="FFFFFF"/>
          <w:lang w:val="zh-CN"/>
        </w:rPr>
        <w:t>.</w:t>
      </w:r>
      <w:r>
        <w:rPr>
          <w:color w:val="000000"/>
          <w:kern w:val="0"/>
          <w:szCs w:val="32"/>
          <w:shd w:val="clear" w:color="auto" w:fill="FFFFFF"/>
          <w:lang w:val="zh-CN"/>
        </w:rPr>
        <w:t>38</w:t>
      </w:r>
      <w:r>
        <w:rPr>
          <w:rFonts w:hint="eastAsia"/>
          <w:color w:val="000000"/>
          <w:kern w:val="0"/>
          <w:szCs w:val="32"/>
          <w:shd w:val="clear" w:color="auto" w:fill="FFFFFF"/>
          <w:lang w:val="zh-CN"/>
        </w:rPr>
        <w:t>万元到年末完成</w:t>
      </w:r>
      <w:r>
        <w:rPr>
          <w:color w:val="000000"/>
          <w:kern w:val="0"/>
          <w:szCs w:val="32"/>
          <w:shd w:val="clear" w:color="auto" w:fill="FFFFFF"/>
          <w:lang w:val="zh-CN"/>
        </w:rPr>
        <w:t>53</w:t>
      </w:r>
      <w:r>
        <w:rPr>
          <w:rFonts w:hint="eastAsia"/>
          <w:color w:val="000000"/>
          <w:kern w:val="0"/>
          <w:szCs w:val="32"/>
          <w:shd w:val="clear" w:color="auto" w:fill="FFFFFF"/>
          <w:lang w:val="zh-CN"/>
        </w:rPr>
        <w:t>.</w:t>
      </w:r>
      <w:r>
        <w:rPr>
          <w:color w:val="000000"/>
          <w:kern w:val="0"/>
          <w:szCs w:val="32"/>
          <w:shd w:val="clear" w:color="auto" w:fill="FFFFFF"/>
          <w:lang w:val="zh-CN"/>
        </w:rPr>
        <w:t>94</w:t>
      </w:r>
      <w:r>
        <w:rPr>
          <w:rFonts w:hint="eastAsia"/>
          <w:color w:val="000000"/>
          <w:kern w:val="0"/>
          <w:szCs w:val="32"/>
          <w:shd w:val="clear" w:color="auto" w:fill="FFFFFF"/>
          <w:lang w:val="zh-CN"/>
        </w:rPr>
        <w:t>万元，占年初预算数</w:t>
      </w:r>
      <w:r>
        <w:rPr>
          <w:color w:val="000000"/>
          <w:kern w:val="0"/>
          <w:szCs w:val="32"/>
          <w:shd w:val="clear" w:color="auto" w:fill="FFFFFF"/>
          <w:lang w:val="zh-CN"/>
        </w:rPr>
        <w:t>78</w:t>
      </w:r>
      <w:r>
        <w:rPr>
          <w:rFonts w:hint="eastAsia"/>
          <w:color w:val="000000"/>
          <w:kern w:val="0"/>
          <w:szCs w:val="32"/>
          <w:shd w:val="clear" w:color="auto" w:fill="FFFFFF"/>
          <w:lang w:val="zh-CN"/>
        </w:rPr>
        <w:t>.</w:t>
      </w:r>
      <w:r>
        <w:rPr>
          <w:color w:val="000000"/>
          <w:kern w:val="0"/>
          <w:szCs w:val="32"/>
          <w:shd w:val="clear" w:color="auto" w:fill="FFFFFF"/>
          <w:lang w:val="zh-CN"/>
        </w:rPr>
        <w:t>88</w:t>
      </w:r>
      <w:r>
        <w:rPr>
          <w:rFonts w:hint="eastAsia"/>
          <w:color w:val="000000"/>
          <w:kern w:val="0"/>
          <w:szCs w:val="32"/>
          <w:shd w:val="clear" w:color="auto" w:fill="FFFFFF"/>
          <w:lang w:val="zh-CN"/>
        </w:rPr>
        <w:t>%，该项自评未得满分；</w:t>
      </w:r>
    </w:p>
    <w:p w14:paraId="4807BABF">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lang w:val="zh-CN"/>
        </w:rPr>
        <w:t>资金结余率：项目资金年终无结余；</w:t>
      </w:r>
    </w:p>
    <w:p w14:paraId="6B941A49">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lang w:val="zh-CN"/>
        </w:rPr>
        <w:t>违规记录：在各级各部门抽查工作中无违规记录</w:t>
      </w:r>
    </w:p>
    <w:p w14:paraId="4F2F0487">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（二）</w:t>
      </w:r>
      <w:r>
        <w:rPr>
          <w:rFonts w:hint="eastAsia"/>
          <w:color w:val="000000"/>
          <w:kern w:val="0"/>
          <w:szCs w:val="32"/>
          <w:shd w:val="clear" w:color="auto" w:fill="FFFFFF"/>
          <w:lang w:val="zh-CN"/>
        </w:rPr>
        <w:t>专项预算项目绩效管理40分，自评得分3</w:t>
      </w:r>
      <w:r>
        <w:rPr>
          <w:color w:val="000000"/>
          <w:kern w:val="0"/>
          <w:szCs w:val="32"/>
          <w:shd w:val="clear" w:color="auto" w:fill="FFFFFF"/>
          <w:lang w:val="zh-CN"/>
        </w:rPr>
        <w:t>8</w:t>
      </w:r>
      <w:r>
        <w:rPr>
          <w:rFonts w:hint="eastAsia"/>
          <w:color w:val="000000"/>
          <w:kern w:val="0"/>
          <w:szCs w:val="32"/>
          <w:shd w:val="clear" w:color="auto" w:fill="FFFFFF"/>
          <w:lang w:val="zh-CN"/>
        </w:rPr>
        <w:t>分</w:t>
      </w:r>
    </w:p>
    <w:p w14:paraId="1E9B4BE6">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lang w:val="zh-CN"/>
        </w:rPr>
        <w:t>本年专项预算主要是“202</w:t>
      </w:r>
      <w:r>
        <w:rPr>
          <w:color w:val="000000"/>
          <w:kern w:val="0"/>
          <w:szCs w:val="32"/>
          <w:shd w:val="clear" w:color="auto" w:fill="FFFFFF"/>
          <w:lang w:val="zh-CN"/>
        </w:rPr>
        <w:t>3</w:t>
      </w:r>
      <w:r>
        <w:rPr>
          <w:rFonts w:hint="eastAsia"/>
          <w:color w:val="000000"/>
          <w:kern w:val="0"/>
          <w:szCs w:val="32"/>
          <w:shd w:val="clear" w:color="auto" w:fill="FFFFFF"/>
          <w:lang w:val="zh-CN"/>
        </w:rPr>
        <w:t>年城乡义务教育补助经费”，其中中央资金未全部完成预算指标，剩余指标由财政回收，资金完成率为</w:t>
      </w:r>
      <w:r>
        <w:rPr>
          <w:color w:val="000000"/>
          <w:kern w:val="0"/>
          <w:szCs w:val="32"/>
          <w:shd w:val="clear" w:color="auto" w:fill="FFFFFF"/>
          <w:lang w:val="zh-CN"/>
        </w:rPr>
        <w:t>89.97</w:t>
      </w:r>
      <w:r>
        <w:rPr>
          <w:rFonts w:hint="eastAsia"/>
          <w:color w:val="000000"/>
          <w:kern w:val="0"/>
          <w:szCs w:val="32"/>
          <w:shd w:val="clear" w:color="auto" w:fill="FFFFFF"/>
          <w:lang w:val="zh-CN"/>
        </w:rPr>
        <w:t>%，省、区级财政资金全部完成，达到项目目标。该项自评未得满分。</w:t>
      </w:r>
    </w:p>
    <w:p w14:paraId="3D2F5158">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w:t>
      </w:r>
      <w:r>
        <w:rPr>
          <w:rFonts w:hint="eastAsia"/>
          <w:color w:val="000000"/>
          <w:kern w:val="0"/>
          <w:szCs w:val="32"/>
          <w:shd w:val="clear" w:color="auto" w:fill="FFFFFF"/>
          <w:lang w:val="zh-CN"/>
        </w:rPr>
        <w:t>三</w:t>
      </w:r>
      <w:r>
        <w:rPr>
          <w:color w:val="000000"/>
          <w:kern w:val="0"/>
          <w:szCs w:val="32"/>
          <w:shd w:val="clear" w:color="auto" w:fill="FFFFFF"/>
          <w:lang w:val="zh-CN"/>
        </w:rPr>
        <w:t>）结果应用情况</w:t>
      </w:r>
      <w:r>
        <w:rPr>
          <w:rFonts w:hint="eastAsia"/>
          <w:color w:val="000000"/>
          <w:kern w:val="0"/>
          <w:szCs w:val="32"/>
          <w:shd w:val="clear" w:color="auto" w:fill="FFFFFF"/>
          <w:lang w:val="zh-CN"/>
        </w:rPr>
        <w:t>10分，自评得分10分</w:t>
      </w:r>
      <w:r>
        <w:rPr>
          <w:color w:val="000000"/>
          <w:kern w:val="0"/>
          <w:szCs w:val="32"/>
          <w:shd w:val="clear" w:color="auto" w:fill="FFFFFF"/>
          <w:lang w:val="zh-CN"/>
        </w:rPr>
        <w:t>。</w:t>
      </w:r>
    </w:p>
    <w:p w14:paraId="2A82E5C3">
      <w:pPr>
        <w:pStyle w:val="20"/>
        <w:ind w:left="243" w:firstLine="560" w:firstLineChars="200"/>
        <w:rPr>
          <w:rFonts w:hAnsi="楷体"/>
          <w:sz w:val="28"/>
          <w:szCs w:val="28"/>
        </w:rPr>
      </w:pPr>
      <w:r>
        <w:rPr>
          <w:rFonts w:hint="eastAsia" w:hAnsi="楷体"/>
          <w:sz w:val="28"/>
          <w:szCs w:val="28"/>
        </w:rPr>
        <w:t>绩效自评结果将用于下一年度预算编制及监控，并按要求在攀枝花市东区人民政府网政务公开栏目下公开公示。</w:t>
      </w:r>
    </w:p>
    <w:p w14:paraId="6A893A1A">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包括内部应用、自评公开、问题整改和应用反馈等情况。</w:t>
      </w:r>
    </w:p>
    <w:p w14:paraId="2D86EDD5">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lang w:val="zh-CN"/>
        </w:rPr>
        <w:t>1、内部应用：</w:t>
      </w:r>
      <w:r>
        <w:rPr>
          <w:color w:val="000000"/>
          <w:kern w:val="0"/>
          <w:szCs w:val="32"/>
          <w:shd w:val="clear" w:color="auto" w:fill="FFFFFF"/>
          <w:lang w:val="zh-CN"/>
        </w:rPr>
        <w:t xml:space="preserve"> </w:t>
      </w:r>
    </w:p>
    <w:p w14:paraId="2C5EDDEB">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lang w:val="zh-CN"/>
        </w:rPr>
        <w:t>学校年度总目标的完成质量与学校内部各部门综合考核挂钩，对各部门的日常工作实行绩效考核</w:t>
      </w:r>
    </w:p>
    <w:p w14:paraId="4E745C88">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lang w:val="zh-CN"/>
        </w:rPr>
        <w:t>2、信息公开：</w:t>
      </w:r>
      <w:r>
        <w:rPr>
          <w:color w:val="000000"/>
          <w:kern w:val="0"/>
          <w:szCs w:val="32"/>
          <w:shd w:val="clear" w:color="auto" w:fill="FFFFFF"/>
          <w:lang w:val="zh-CN"/>
        </w:rPr>
        <w:t xml:space="preserve"> </w:t>
      </w:r>
    </w:p>
    <w:p w14:paraId="610EB747">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lang w:val="zh-CN"/>
        </w:rPr>
        <w:t>学校所有工作均按要求在相关场合、网站等进行信息公开，接受社会监督</w:t>
      </w:r>
    </w:p>
    <w:p w14:paraId="0C9A11E3">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lang w:val="zh-CN"/>
        </w:rPr>
        <w:t>3、整改反馈：</w:t>
      </w:r>
      <w:r>
        <w:rPr>
          <w:color w:val="000000"/>
          <w:kern w:val="0"/>
          <w:szCs w:val="32"/>
          <w:shd w:val="clear" w:color="auto" w:fill="FFFFFF"/>
          <w:lang w:val="zh-CN"/>
        </w:rPr>
        <w:t xml:space="preserve"> </w:t>
      </w:r>
    </w:p>
    <w:p w14:paraId="268EB985">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lang w:val="zh-CN"/>
        </w:rPr>
        <w:t>预算执行过程中进行绩效监控，发现问题及时处理并与财政部门沟通和信息反馈。</w:t>
      </w:r>
    </w:p>
    <w:p w14:paraId="362A748F">
      <w:pPr>
        <w:pStyle w:val="17"/>
        <w:widowControl/>
        <w:numPr>
          <w:ilvl w:val="0"/>
          <w:numId w:val="2"/>
        </w:numPr>
        <w:adjustRightInd w:val="0"/>
        <w:snapToGrid w:val="0"/>
        <w:spacing w:line="580" w:lineRule="exact"/>
        <w:ind w:firstLineChars="0"/>
        <w:contextualSpacing/>
        <w:jc w:val="left"/>
        <w:rPr>
          <w:color w:val="000000"/>
          <w:kern w:val="0"/>
          <w:szCs w:val="32"/>
          <w:shd w:val="clear" w:color="auto" w:fill="FFFFFF"/>
          <w:lang w:val="zh-CN"/>
        </w:rPr>
      </w:pPr>
      <w:r>
        <w:rPr>
          <w:color w:val="000000"/>
          <w:kern w:val="0"/>
          <w:szCs w:val="32"/>
          <w:shd w:val="clear" w:color="auto" w:fill="FFFFFF"/>
          <w:lang w:val="zh-CN"/>
        </w:rPr>
        <w:t>自评质量</w:t>
      </w:r>
      <w:r>
        <w:rPr>
          <w:rFonts w:hint="eastAsia"/>
          <w:color w:val="000000"/>
          <w:kern w:val="0"/>
          <w:szCs w:val="32"/>
          <w:shd w:val="clear" w:color="auto" w:fill="FFFFFF"/>
          <w:lang w:val="zh-CN"/>
        </w:rPr>
        <w:t>1</w:t>
      </w:r>
      <w:r>
        <w:rPr>
          <w:color w:val="000000"/>
          <w:kern w:val="0"/>
          <w:szCs w:val="32"/>
          <w:shd w:val="clear" w:color="auto" w:fill="FFFFFF"/>
          <w:lang w:val="zh-CN"/>
        </w:rPr>
        <w:t>0</w:t>
      </w:r>
      <w:r>
        <w:rPr>
          <w:rFonts w:hint="eastAsia"/>
          <w:color w:val="000000"/>
          <w:kern w:val="0"/>
          <w:szCs w:val="32"/>
          <w:shd w:val="clear" w:color="auto" w:fill="FFFFFF"/>
          <w:lang w:val="zh-CN"/>
        </w:rPr>
        <w:t>分，自评得分1</w:t>
      </w:r>
      <w:r>
        <w:rPr>
          <w:color w:val="000000"/>
          <w:kern w:val="0"/>
          <w:szCs w:val="32"/>
          <w:shd w:val="clear" w:color="auto" w:fill="FFFFFF"/>
          <w:lang w:val="zh-CN"/>
        </w:rPr>
        <w:t>0</w:t>
      </w:r>
      <w:r>
        <w:rPr>
          <w:rFonts w:hint="eastAsia"/>
          <w:color w:val="000000"/>
          <w:kern w:val="0"/>
          <w:szCs w:val="32"/>
          <w:shd w:val="clear" w:color="auto" w:fill="FFFFFF"/>
          <w:lang w:val="zh-CN"/>
        </w:rPr>
        <w:t>分。</w:t>
      </w:r>
    </w:p>
    <w:p w14:paraId="1E213605">
      <w:pPr>
        <w:pStyle w:val="20"/>
        <w:ind w:left="243" w:firstLine="560" w:firstLineChars="200"/>
        <w:rPr>
          <w:rFonts w:hAnsi="楷体"/>
          <w:sz w:val="28"/>
          <w:szCs w:val="28"/>
        </w:rPr>
      </w:pPr>
      <w:r>
        <w:rPr>
          <w:rFonts w:hint="eastAsia" w:hAnsi="楷体"/>
          <w:sz w:val="28"/>
          <w:szCs w:val="28"/>
        </w:rPr>
        <w:t>本年度部门整体目标绩效完成情况良好。</w:t>
      </w:r>
    </w:p>
    <w:p w14:paraId="7B222D16">
      <w:pPr>
        <w:pStyle w:val="20"/>
        <w:ind w:left="243" w:firstLine="560" w:firstLineChars="200"/>
        <w:rPr>
          <w:rFonts w:hAnsi="楷体"/>
          <w:sz w:val="28"/>
          <w:szCs w:val="28"/>
        </w:rPr>
      </w:pPr>
      <w:r>
        <w:rPr>
          <w:rFonts w:hint="eastAsia" w:hAnsi="楷体"/>
          <w:sz w:val="28"/>
          <w:szCs w:val="28"/>
        </w:rPr>
        <w:t>质量指标达到以下目标：1.巩固提高“两基”工作成果和整体水平，依法动员、组织适龄儿童少年入学，严格控制辍学，抓好扫盲和巩固工作，推进普及义务教育。积极落实“十三五”规划和学校的三年发展规划。2、负责本校财务和基建管理，筹措资金，改善办学条件等工作。严格执行财务制度，坚持收费、结算公示的透明化，做到了财务数据的准确、及时上报，归档规范。3.学校教育教学工作在东区处于前列。4.组织开展本校的教育教学科研和教育教学改革，科研兴教，科研兴校。负责对本校教育教学业务的具体管理，负责教育教学管理及教研教改工作，全力推进素质教育实施。继续以“四名教育，五彩人生”品牌建设，通过拼搏努力，加强制度建设，强化管理、提高效益，全面推广教育教学改革。</w:t>
      </w:r>
    </w:p>
    <w:p w14:paraId="6928ABF0">
      <w:pPr>
        <w:pStyle w:val="20"/>
        <w:ind w:left="243" w:firstLine="560" w:firstLineChars="200"/>
        <w:rPr>
          <w:rFonts w:hAnsi="楷体"/>
          <w:sz w:val="28"/>
          <w:szCs w:val="28"/>
        </w:rPr>
      </w:pPr>
      <w:r>
        <w:rPr>
          <w:rFonts w:hint="eastAsia" w:hAnsi="楷体"/>
          <w:sz w:val="28"/>
          <w:szCs w:val="28"/>
        </w:rPr>
        <w:t>生态效益指标达到以下目标：坚持德育为先、能力为重、全面发展。在全面实施素质教育的主题下，让所有的学生经过我们的教育，使德智体美劳综合素质在原有的基础上都得到全面发展。</w:t>
      </w:r>
    </w:p>
    <w:p w14:paraId="5858F545">
      <w:pPr>
        <w:pStyle w:val="20"/>
        <w:ind w:left="243" w:firstLine="560" w:firstLineChars="200"/>
        <w:rPr>
          <w:rFonts w:hAnsi="楷体"/>
          <w:sz w:val="28"/>
          <w:szCs w:val="28"/>
        </w:rPr>
      </w:pPr>
      <w:r>
        <w:rPr>
          <w:rFonts w:hint="eastAsia" w:hAnsi="楷体"/>
          <w:sz w:val="28"/>
          <w:szCs w:val="28"/>
        </w:rPr>
        <w:t>社会效益指标达到以下目标：1.学校立足现实，进一步办好特色小班化品牌，吸引优质生源，扩大办学规模。届时根据形势的发展争取上级支持，完善学校信息教育设备设施，力争做到全市领先学校。2.办学生喜爱、家长放心、社会满意的学校。</w:t>
      </w:r>
    </w:p>
    <w:p w14:paraId="67C64529">
      <w:pPr>
        <w:pStyle w:val="20"/>
        <w:ind w:left="243" w:firstLine="560" w:firstLineChars="200"/>
        <w:rPr>
          <w:rFonts w:hAnsi="楷体"/>
          <w:sz w:val="28"/>
          <w:szCs w:val="28"/>
        </w:rPr>
      </w:pPr>
      <w:r>
        <w:rPr>
          <w:rFonts w:hint="eastAsia" w:hAnsi="楷体"/>
          <w:sz w:val="28"/>
          <w:szCs w:val="28"/>
        </w:rPr>
        <w:t>可持续影响指标达到以下目标：根据国家、省、市《中长期教育改革与发展纲要》精神和上级有关规定，进一步修订、完善学校《章程》、教师工作和绩效工资量化考核制度、教师出勤制度、教师教学常规制度、班级学生常规管理等学校规章制度，做到学校管理规范化。</w:t>
      </w:r>
    </w:p>
    <w:p w14:paraId="79CD1DDB">
      <w:pPr>
        <w:pStyle w:val="20"/>
        <w:ind w:left="243" w:firstLine="560" w:firstLineChars="200"/>
        <w:rPr>
          <w:rFonts w:hAnsi="楷体"/>
          <w:sz w:val="28"/>
          <w:szCs w:val="28"/>
          <w:highlight w:val="yellow"/>
        </w:rPr>
      </w:pPr>
      <w:r>
        <w:rPr>
          <w:rFonts w:hint="eastAsia" w:hAnsi="楷体"/>
          <w:sz w:val="28"/>
          <w:szCs w:val="28"/>
        </w:rPr>
        <w:t>本年度区级专项资金绩效目标完成情况较好。认真贯彻落实精准帮扶工作，帮助受援学校推进课堂改革，推动学校文化建设、完善定理考核制度、提升教育教学质量，促进乡(镇)中心校教师专业发展，促进我市城乡学校改革与发展互动，扎实推进我市义务教育均衡发展。积极落实三区人才计划，全面实行义务教育“三免一补”政策，加强资金使用的监督和管理，确保执行公开、公平、公正。</w:t>
      </w:r>
    </w:p>
    <w:p w14:paraId="742583F6">
      <w:pPr>
        <w:widowControl/>
        <w:adjustRightInd w:val="0"/>
        <w:snapToGrid w:val="0"/>
        <w:spacing w:line="580" w:lineRule="exact"/>
        <w:ind w:firstLine="640" w:firstLineChars="200"/>
        <w:contextualSpacing/>
        <w:jc w:val="left"/>
        <w:rPr>
          <w:rFonts w:eastAsia="黑体"/>
          <w:color w:val="000000"/>
          <w:kern w:val="0"/>
          <w:szCs w:val="32"/>
          <w:shd w:val="clear" w:color="auto" w:fill="FFFFFF"/>
        </w:rPr>
      </w:pPr>
      <w:r>
        <w:rPr>
          <w:rFonts w:eastAsia="黑体"/>
          <w:color w:val="000000"/>
          <w:kern w:val="0"/>
          <w:szCs w:val="32"/>
          <w:shd w:val="clear" w:color="auto" w:fill="FFFFFF"/>
        </w:rPr>
        <w:t>四、评价结论及建议</w:t>
      </w:r>
    </w:p>
    <w:p w14:paraId="5E44794A">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（一）评价结论。</w:t>
      </w:r>
    </w:p>
    <w:p w14:paraId="68396AFF">
      <w:pPr>
        <w:pStyle w:val="20"/>
        <w:ind w:left="243" w:firstLine="560" w:firstLineChars="200"/>
        <w:rPr>
          <w:rFonts w:hAnsi="楷体"/>
          <w:sz w:val="28"/>
          <w:szCs w:val="28"/>
        </w:rPr>
      </w:pPr>
      <w:r>
        <w:rPr>
          <w:rFonts w:hint="eastAsia" w:hAnsi="楷体"/>
          <w:sz w:val="28"/>
          <w:szCs w:val="28"/>
        </w:rPr>
        <w:t>202</w:t>
      </w:r>
      <w:r>
        <w:rPr>
          <w:rFonts w:hAnsi="楷体"/>
          <w:sz w:val="28"/>
          <w:szCs w:val="28"/>
        </w:rPr>
        <w:t>3</w:t>
      </w:r>
      <w:r>
        <w:rPr>
          <w:rFonts w:hint="eastAsia" w:hAnsi="楷体"/>
          <w:sz w:val="28"/>
          <w:szCs w:val="28"/>
        </w:rPr>
        <w:t>年度学校努力做好财政预算收入、支出以及各项目的管理工作，将预算及时公开到相关的信息网络平台，并在执行过程中积极对执行情况进行监控，对预算的资金进行全方位的监督和管理，使每一笔资金都能起到最大的使用效益。结合我校实际情合理分配资金，以达到合理高效地运用资金、提升资金的产出效果、节约成本与资源、提高部门的办事效率的目的。在部门预算整体支出绩效方面都按规定严格执行，合理安排支出，使财政资金发挥出最大的效益。</w:t>
      </w:r>
    </w:p>
    <w:p w14:paraId="7C9E0EBB">
      <w:pPr>
        <w:widowControl/>
        <w:adjustRightInd w:val="0"/>
        <w:snapToGrid w:val="0"/>
        <w:spacing w:line="580" w:lineRule="exact"/>
        <w:ind w:firstLine="560" w:firstLineChars="200"/>
        <w:contextualSpacing/>
        <w:jc w:val="left"/>
        <w:rPr>
          <w:color w:val="000000"/>
          <w:kern w:val="0"/>
          <w:szCs w:val="32"/>
          <w:shd w:val="clear" w:color="auto" w:fill="FFFFFF"/>
          <w:lang w:val="zh-CN"/>
        </w:rPr>
      </w:pPr>
      <w:r>
        <w:rPr>
          <w:rFonts w:hint="eastAsia" w:hAnsi="宋体" w:cs="宋体"/>
          <w:kern w:val="0"/>
          <w:sz w:val="28"/>
          <w:szCs w:val="28"/>
        </w:rPr>
        <w:t>攀枝花市第一小学校在预算执行、预算管理及职责履行等方面情况较好，产生了较好的社会效益，在全体教职员工的共同努力下，基本完成年初预算绩效目标。通过部门预算项目绩效管理、绩效结果应用、专项预算项目绩效管理、自评质量等方面的自评，部门整体支出绩效评价得分9</w:t>
      </w:r>
      <w:r>
        <w:rPr>
          <w:rFonts w:hAnsi="宋体" w:cs="宋体"/>
          <w:kern w:val="0"/>
          <w:sz w:val="28"/>
          <w:szCs w:val="28"/>
        </w:rPr>
        <w:t>6</w:t>
      </w:r>
      <w:r>
        <w:rPr>
          <w:rFonts w:hint="eastAsia" w:hAnsi="宋体" w:cs="宋体"/>
          <w:kern w:val="0"/>
          <w:sz w:val="28"/>
          <w:szCs w:val="28"/>
        </w:rPr>
        <w:t>分。</w:t>
      </w:r>
    </w:p>
    <w:p w14:paraId="03EDEEB8">
      <w:pPr>
        <w:pStyle w:val="17"/>
        <w:widowControl/>
        <w:numPr>
          <w:ilvl w:val="0"/>
          <w:numId w:val="2"/>
        </w:numPr>
        <w:adjustRightInd w:val="0"/>
        <w:snapToGrid w:val="0"/>
        <w:spacing w:line="580" w:lineRule="exact"/>
        <w:ind w:firstLineChars="0"/>
        <w:contextualSpacing/>
        <w:jc w:val="left"/>
        <w:rPr>
          <w:color w:val="000000"/>
          <w:kern w:val="0"/>
          <w:szCs w:val="32"/>
          <w:shd w:val="clear" w:color="auto" w:fill="FFFFFF"/>
          <w:lang w:val="zh-CN"/>
        </w:rPr>
      </w:pPr>
      <w:r>
        <w:rPr>
          <w:color w:val="000000"/>
          <w:kern w:val="0"/>
          <w:szCs w:val="32"/>
          <w:shd w:val="clear" w:color="auto" w:fill="FFFFFF"/>
          <w:lang w:val="zh-CN"/>
        </w:rPr>
        <w:t>存在问题。</w:t>
      </w:r>
      <w:bookmarkStart w:id="0" w:name="_GoBack"/>
      <w:bookmarkEnd w:id="0"/>
    </w:p>
    <w:p w14:paraId="55489F45">
      <w:pPr>
        <w:pStyle w:val="20"/>
        <w:ind w:left="243" w:firstLine="560" w:firstLineChars="200"/>
        <w:rPr>
          <w:rFonts w:hAnsi="楷体"/>
          <w:sz w:val="28"/>
          <w:szCs w:val="28"/>
        </w:rPr>
      </w:pPr>
      <w:r>
        <w:rPr>
          <w:rFonts w:hint="eastAsia" w:hAnsi="楷体"/>
          <w:sz w:val="28"/>
          <w:szCs w:val="28"/>
        </w:rPr>
        <w:t>本年度学校在绩效目标的执行过程中还存在下列问题：</w:t>
      </w:r>
    </w:p>
    <w:p w14:paraId="5E12F7CD">
      <w:pPr>
        <w:pStyle w:val="20"/>
        <w:ind w:left="243" w:firstLine="560" w:firstLineChars="200"/>
        <w:rPr>
          <w:rFonts w:hAnsi="楷体"/>
          <w:sz w:val="28"/>
          <w:szCs w:val="28"/>
        </w:rPr>
      </w:pPr>
      <w:r>
        <w:rPr>
          <w:rFonts w:hint="eastAsia" w:hAnsi="楷体"/>
          <w:sz w:val="28"/>
          <w:szCs w:val="28"/>
        </w:rPr>
        <w:t>1.学校财务人员是兼职，专业知识水平低，对绩效目标的有关项目理解不透彻。</w:t>
      </w:r>
    </w:p>
    <w:p w14:paraId="7F318913">
      <w:pPr>
        <w:pStyle w:val="20"/>
        <w:ind w:left="243" w:firstLine="560" w:firstLineChars="200"/>
        <w:rPr>
          <w:rFonts w:hAnsi="楷体"/>
          <w:sz w:val="28"/>
          <w:szCs w:val="28"/>
        </w:rPr>
      </w:pPr>
      <w:r>
        <w:rPr>
          <w:rFonts w:hAnsi="楷体"/>
          <w:sz w:val="28"/>
          <w:szCs w:val="28"/>
        </w:rPr>
        <w:t>2</w:t>
      </w:r>
      <w:r>
        <w:rPr>
          <w:rFonts w:hint="eastAsia" w:hAnsi="楷体"/>
          <w:sz w:val="28"/>
          <w:szCs w:val="28"/>
        </w:rPr>
        <w:t>. 本年度特定目标类项目绩效目标完成方面存在一定的偏离。</w:t>
      </w:r>
    </w:p>
    <w:p w14:paraId="59EBAC5C">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（三）改进建议。</w:t>
      </w:r>
    </w:p>
    <w:p w14:paraId="318966F1">
      <w:pPr>
        <w:pStyle w:val="20"/>
        <w:ind w:left="243" w:firstLine="560" w:firstLineChars="200"/>
        <w:rPr>
          <w:rFonts w:hAnsi="楷体"/>
          <w:sz w:val="28"/>
          <w:szCs w:val="28"/>
        </w:rPr>
      </w:pPr>
      <w:r>
        <w:rPr>
          <w:rFonts w:hint="eastAsia" w:hAnsi="楷体"/>
          <w:sz w:val="28"/>
          <w:szCs w:val="28"/>
        </w:rPr>
        <w:t>1.进一步提高绩效目标评价意识和方法，细化财务管理。</w:t>
      </w:r>
    </w:p>
    <w:p w14:paraId="1BBE0317">
      <w:pPr>
        <w:pStyle w:val="20"/>
        <w:ind w:left="243" w:firstLine="560" w:firstLineChars="200"/>
        <w:rPr>
          <w:rFonts w:hAnsi="楷体"/>
          <w:sz w:val="28"/>
          <w:szCs w:val="28"/>
        </w:rPr>
      </w:pPr>
      <w:r>
        <w:rPr>
          <w:rFonts w:hAnsi="楷体"/>
          <w:sz w:val="28"/>
          <w:szCs w:val="28"/>
        </w:rPr>
        <w:t>2</w:t>
      </w:r>
      <w:r>
        <w:rPr>
          <w:rFonts w:hint="eastAsia" w:hAnsi="楷体"/>
          <w:sz w:val="28"/>
          <w:szCs w:val="28"/>
        </w:rPr>
        <w:t>.进一步提高财务人员自身业务能力水平，加强思想和业务培训。</w:t>
      </w:r>
    </w:p>
    <w:p w14:paraId="3CEF7B8A">
      <w:pPr>
        <w:pStyle w:val="20"/>
        <w:ind w:left="243" w:firstLine="560" w:firstLineChars="200"/>
        <w:rPr>
          <w:rFonts w:hAnsi="楷体"/>
          <w:sz w:val="28"/>
          <w:szCs w:val="28"/>
        </w:rPr>
      </w:pPr>
      <w:r>
        <w:rPr>
          <w:rFonts w:hAnsi="楷体"/>
          <w:sz w:val="28"/>
          <w:szCs w:val="28"/>
        </w:rPr>
        <w:t>3</w:t>
      </w:r>
      <w:r>
        <w:rPr>
          <w:rFonts w:hint="eastAsia" w:hAnsi="楷体"/>
          <w:sz w:val="28"/>
          <w:szCs w:val="28"/>
        </w:rPr>
        <w:t>.严格按照上级要有关要求进一步做好绩效评价工作。</w:t>
      </w:r>
    </w:p>
    <w:sectPr>
      <w:headerReference r:id="rId3" w:type="default"/>
      <w:footerReference r:id="rId4" w:type="default"/>
      <w:footerReference r:id="rId5"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69377">
    <w:pPr>
      <w:pStyle w:val="5"/>
      <w:jc w:val="center"/>
    </w:pPr>
  </w:p>
  <w:p w14:paraId="5C28A9E9">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831518"/>
    </w:sdtPr>
    <w:sdtContent>
      <w:p w14:paraId="1A6C18A0">
        <w:pPr>
          <w:pStyle w:val="5"/>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12 -</w:t>
        </w:r>
        <w:r>
          <w:rPr>
            <w:rFonts w:asciiTheme="minorEastAsia" w:hAnsiTheme="minorEastAsia" w:eastAsiaTheme="minorEastAsia"/>
            <w:sz w:val="28"/>
            <w:szCs w:val="28"/>
          </w:rPr>
          <w:fldChar w:fldCharType="end"/>
        </w:r>
      </w:p>
    </w:sdtContent>
  </w:sdt>
  <w:p w14:paraId="3FF982E6">
    <w:pPr>
      <w:pStyle w:val="5"/>
      <w:tabs>
        <w:tab w:val="right" w:pos="9184"/>
        <w:tab w:val="clear" w:pos="4153"/>
        <w:tab w:val="clear" w:pos="8306"/>
      </w:tabs>
      <w:rPr>
        <w:rFonts w:ascii="宋体" w:hAns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ED774">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F97363"/>
    <w:multiLevelType w:val="multilevel"/>
    <w:tmpl w:val="1AF97363"/>
    <w:lvl w:ilvl="0" w:tentative="0">
      <w:start w:val="4"/>
      <w:numFmt w:val="japaneseCounting"/>
      <w:lvlText w:val="（%1）"/>
      <w:lvlJc w:val="left"/>
      <w:pPr>
        <w:ind w:left="1720" w:hanging="108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abstractNum w:abstractNumId="1">
    <w:nsid w:val="4EC92812"/>
    <w:multiLevelType w:val="multilevel"/>
    <w:tmpl w:val="4EC92812"/>
    <w:lvl w:ilvl="0" w:tentative="0">
      <w:start w:val="1"/>
      <w:numFmt w:val="japaneseCounting"/>
      <w:lvlText w:val="（%1）"/>
      <w:lvlJc w:val="left"/>
      <w:pPr>
        <w:ind w:left="1585" w:hanging="945"/>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174"/>
    <w:rsid w:val="00006E4D"/>
    <w:rsid w:val="00010D0E"/>
    <w:rsid w:val="00020DAB"/>
    <w:rsid w:val="00021652"/>
    <w:rsid w:val="00030311"/>
    <w:rsid w:val="00030782"/>
    <w:rsid w:val="00030B66"/>
    <w:rsid w:val="00047F82"/>
    <w:rsid w:val="0006102A"/>
    <w:rsid w:val="000635AA"/>
    <w:rsid w:val="00065B0F"/>
    <w:rsid w:val="00065E7E"/>
    <w:rsid w:val="000820BB"/>
    <w:rsid w:val="0008241B"/>
    <w:rsid w:val="00092280"/>
    <w:rsid w:val="00097B6E"/>
    <w:rsid w:val="00097FAE"/>
    <w:rsid w:val="000A3233"/>
    <w:rsid w:val="000A7CE3"/>
    <w:rsid w:val="000B04D6"/>
    <w:rsid w:val="000B15CE"/>
    <w:rsid w:val="000C40C6"/>
    <w:rsid w:val="000C79C1"/>
    <w:rsid w:val="000D18F4"/>
    <w:rsid w:val="000D208A"/>
    <w:rsid w:val="000D21BD"/>
    <w:rsid w:val="000D309F"/>
    <w:rsid w:val="000E037E"/>
    <w:rsid w:val="000F1C99"/>
    <w:rsid w:val="000F659A"/>
    <w:rsid w:val="000F77B0"/>
    <w:rsid w:val="00101699"/>
    <w:rsid w:val="0010235D"/>
    <w:rsid w:val="00103A47"/>
    <w:rsid w:val="00106D4D"/>
    <w:rsid w:val="001119A2"/>
    <w:rsid w:val="00117977"/>
    <w:rsid w:val="00121929"/>
    <w:rsid w:val="001221D6"/>
    <w:rsid w:val="0012510A"/>
    <w:rsid w:val="00125F67"/>
    <w:rsid w:val="001261AE"/>
    <w:rsid w:val="00133A93"/>
    <w:rsid w:val="001348A4"/>
    <w:rsid w:val="0014117C"/>
    <w:rsid w:val="00146FE8"/>
    <w:rsid w:val="0014767B"/>
    <w:rsid w:val="00147AED"/>
    <w:rsid w:val="001571C4"/>
    <w:rsid w:val="001762C5"/>
    <w:rsid w:val="00177AAF"/>
    <w:rsid w:val="00183850"/>
    <w:rsid w:val="00184D9F"/>
    <w:rsid w:val="001A3FA9"/>
    <w:rsid w:val="001A4749"/>
    <w:rsid w:val="001A4842"/>
    <w:rsid w:val="001A5833"/>
    <w:rsid w:val="001A5BDB"/>
    <w:rsid w:val="001C2158"/>
    <w:rsid w:val="001C51F2"/>
    <w:rsid w:val="001C73AB"/>
    <w:rsid w:val="001D2035"/>
    <w:rsid w:val="001D2EA4"/>
    <w:rsid w:val="001F47CE"/>
    <w:rsid w:val="001F4C9C"/>
    <w:rsid w:val="001F5776"/>
    <w:rsid w:val="001F7856"/>
    <w:rsid w:val="0020620D"/>
    <w:rsid w:val="002069BC"/>
    <w:rsid w:val="002069EB"/>
    <w:rsid w:val="002201B0"/>
    <w:rsid w:val="00220900"/>
    <w:rsid w:val="0022307E"/>
    <w:rsid w:val="00224D05"/>
    <w:rsid w:val="002323A3"/>
    <w:rsid w:val="00236EF7"/>
    <w:rsid w:val="0024058A"/>
    <w:rsid w:val="002410C0"/>
    <w:rsid w:val="0024389D"/>
    <w:rsid w:val="0024500B"/>
    <w:rsid w:val="00252894"/>
    <w:rsid w:val="00253FA6"/>
    <w:rsid w:val="00254728"/>
    <w:rsid w:val="002550E7"/>
    <w:rsid w:val="002558D4"/>
    <w:rsid w:val="002560E2"/>
    <w:rsid w:val="00264CFA"/>
    <w:rsid w:val="00267C78"/>
    <w:rsid w:val="00270DD7"/>
    <w:rsid w:val="00276F4A"/>
    <w:rsid w:val="00280BFB"/>
    <w:rsid w:val="00280C88"/>
    <w:rsid w:val="002832CD"/>
    <w:rsid w:val="002973A4"/>
    <w:rsid w:val="002A0195"/>
    <w:rsid w:val="002A3186"/>
    <w:rsid w:val="002B5B34"/>
    <w:rsid w:val="002B6906"/>
    <w:rsid w:val="002B7215"/>
    <w:rsid w:val="002B78CD"/>
    <w:rsid w:val="002C0A33"/>
    <w:rsid w:val="002C0AFD"/>
    <w:rsid w:val="002C30B6"/>
    <w:rsid w:val="002C59D0"/>
    <w:rsid w:val="002C73BB"/>
    <w:rsid w:val="002D1A18"/>
    <w:rsid w:val="002D6C79"/>
    <w:rsid w:val="002E0120"/>
    <w:rsid w:val="002E09F1"/>
    <w:rsid w:val="002E1104"/>
    <w:rsid w:val="002E3180"/>
    <w:rsid w:val="002E3FDD"/>
    <w:rsid w:val="00300EF4"/>
    <w:rsid w:val="00301353"/>
    <w:rsid w:val="00305FF6"/>
    <w:rsid w:val="00307568"/>
    <w:rsid w:val="00307824"/>
    <w:rsid w:val="00311506"/>
    <w:rsid w:val="00316ADB"/>
    <w:rsid w:val="00317623"/>
    <w:rsid w:val="00325857"/>
    <w:rsid w:val="00335F67"/>
    <w:rsid w:val="0033617F"/>
    <w:rsid w:val="003361E9"/>
    <w:rsid w:val="003369B9"/>
    <w:rsid w:val="0034123A"/>
    <w:rsid w:val="00350A65"/>
    <w:rsid w:val="0035548E"/>
    <w:rsid w:val="00361C85"/>
    <w:rsid w:val="00371352"/>
    <w:rsid w:val="00371FA5"/>
    <w:rsid w:val="00376753"/>
    <w:rsid w:val="0038541D"/>
    <w:rsid w:val="00385AB7"/>
    <w:rsid w:val="003864B0"/>
    <w:rsid w:val="003873A3"/>
    <w:rsid w:val="00387818"/>
    <w:rsid w:val="00391A13"/>
    <w:rsid w:val="00391FD0"/>
    <w:rsid w:val="003936B3"/>
    <w:rsid w:val="003977C8"/>
    <w:rsid w:val="003A1D70"/>
    <w:rsid w:val="003A44FC"/>
    <w:rsid w:val="003B3299"/>
    <w:rsid w:val="003D10A2"/>
    <w:rsid w:val="003D33B8"/>
    <w:rsid w:val="003D624D"/>
    <w:rsid w:val="003D719A"/>
    <w:rsid w:val="003F5EB7"/>
    <w:rsid w:val="003F7FE2"/>
    <w:rsid w:val="004004E7"/>
    <w:rsid w:val="00403EAC"/>
    <w:rsid w:val="00416E1A"/>
    <w:rsid w:val="004200A2"/>
    <w:rsid w:val="00426A3F"/>
    <w:rsid w:val="004277D4"/>
    <w:rsid w:val="004472C5"/>
    <w:rsid w:val="00461638"/>
    <w:rsid w:val="004629DD"/>
    <w:rsid w:val="004706FA"/>
    <w:rsid w:val="00474D8D"/>
    <w:rsid w:val="00475CCD"/>
    <w:rsid w:val="00477266"/>
    <w:rsid w:val="004811BC"/>
    <w:rsid w:val="004838F2"/>
    <w:rsid w:val="00485540"/>
    <w:rsid w:val="00486492"/>
    <w:rsid w:val="00492CF6"/>
    <w:rsid w:val="004A04BD"/>
    <w:rsid w:val="004A4C9D"/>
    <w:rsid w:val="004C2078"/>
    <w:rsid w:val="004C228F"/>
    <w:rsid w:val="004E752F"/>
    <w:rsid w:val="004F1E37"/>
    <w:rsid w:val="00513AF2"/>
    <w:rsid w:val="00515198"/>
    <w:rsid w:val="005157F9"/>
    <w:rsid w:val="00521C44"/>
    <w:rsid w:val="005274E1"/>
    <w:rsid w:val="00531DDF"/>
    <w:rsid w:val="00535FA6"/>
    <w:rsid w:val="00542AB7"/>
    <w:rsid w:val="00543329"/>
    <w:rsid w:val="0055358D"/>
    <w:rsid w:val="00553B6A"/>
    <w:rsid w:val="005540C8"/>
    <w:rsid w:val="00555809"/>
    <w:rsid w:val="005569E2"/>
    <w:rsid w:val="00562165"/>
    <w:rsid w:val="005756AF"/>
    <w:rsid w:val="00575A4A"/>
    <w:rsid w:val="00591B6F"/>
    <w:rsid w:val="005A1DAF"/>
    <w:rsid w:val="005B1688"/>
    <w:rsid w:val="005B1E7B"/>
    <w:rsid w:val="005B583F"/>
    <w:rsid w:val="005C17C8"/>
    <w:rsid w:val="005C2098"/>
    <w:rsid w:val="005C2E6C"/>
    <w:rsid w:val="005C4FE6"/>
    <w:rsid w:val="005D0CCF"/>
    <w:rsid w:val="005D1040"/>
    <w:rsid w:val="005D1C01"/>
    <w:rsid w:val="005D594D"/>
    <w:rsid w:val="005E297D"/>
    <w:rsid w:val="005E3F12"/>
    <w:rsid w:val="005E4779"/>
    <w:rsid w:val="005F351A"/>
    <w:rsid w:val="005F3DE8"/>
    <w:rsid w:val="005F627E"/>
    <w:rsid w:val="0061652E"/>
    <w:rsid w:val="006205E9"/>
    <w:rsid w:val="00622D0B"/>
    <w:rsid w:val="006270DA"/>
    <w:rsid w:val="00630B75"/>
    <w:rsid w:val="0063102F"/>
    <w:rsid w:val="00634DFF"/>
    <w:rsid w:val="00635337"/>
    <w:rsid w:val="0064265B"/>
    <w:rsid w:val="0064519C"/>
    <w:rsid w:val="0065082E"/>
    <w:rsid w:val="006512D0"/>
    <w:rsid w:val="006560A3"/>
    <w:rsid w:val="00656301"/>
    <w:rsid w:val="006600C9"/>
    <w:rsid w:val="0066486B"/>
    <w:rsid w:val="006664F1"/>
    <w:rsid w:val="00667118"/>
    <w:rsid w:val="006701CC"/>
    <w:rsid w:val="00671F58"/>
    <w:rsid w:val="00675165"/>
    <w:rsid w:val="006762A4"/>
    <w:rsid w:val="00681CBE"/>
    <w:rsid w:val="006900E7"/>
    <w:rsid w:val="00690B8B"/>
    <w:rsid w:val="006A00A8"/>
    <w:rsid w:val="006A27E3"/>
    <w:rsid w:val="006A2D5A"/>
    <w:rsid w:val="006A482D"/>
    <w:rsid w:val="006B11E0"/>
    <w:rsid w:val="006B386A"/>
    <w:rsid w:val="006B7CB4"/>
    <w:rsid w:val="006C24D3"/>
    <w:rsid w:val="006C76FA"/>
    <w:rsid w:val="006C7917"/>
    <w:rsid w:val="006D2BEB"/>
    <w:rsid w:val="006E1084"/>
    <w:rsid w:val="006E51AE"/>
    <w:rsid w:val="0070081F"/>
    <w:rsid w:val="007018F5"/>
    <w:rsid w:val="00710897"/>
    <w:rsid w:val="00710F11"/>
    <w:rsid w:val="00712F45"/>
    <w:rsid w:val="00734305"/>
    <w:rsid w:val="0073646E"/>
    <w:rsid w:val="007370E1"/>
    <w:rsid w:val="007732A1"/>
    <w:rsid w:val="00774C4A"/>
    <w:rsid w:val="00782BBB"/>
    <w:rsid w:val="0078505D"/>
    <w:rsid w:val="007A0690"/>
    <w:rsid w:val="007A078F"/>
    <w:rsid w:val="007B34D4"/>
    <w:rsid w:val="007C0633"/>
    <w:rsid w:val="007D086C"/>
    <w:rsid w:val="007F1BE1"/>
    <w:rsid w:val="007F4463"/>
    <w:rsid w:val="007F707F"/>
    <w:rsid w:val="007F794C"/>
    <w:rsid w:val="007F7AC9"/>
    <w:rsid w:val="00803B42"/>
    <w:rsid w:val="008073EF"/>
    <w:rsid w:val="0081095C"/>
    <w:rsid w:val="00810C41"/>
    <w:rsid w:val="008212FF"/>
    <w:rsid w:val="008230C0"/>
    <w:rsid w:val="0082593B"/>
    <w:rsid w:val="00827537"/>
    <w:rsid w:val="00832EDB"/>
    <w:rsid w:val="00837339"/>
    <w:rsid w:val="008468EA"/>
    <w:rsid w:val="008544D0"/>
    <w:rsid w:val="008549D6"/>
    <w:rsid w:val="00867140"/>
    <w:rsid w:val="00881134"/>
    <w:rsid w:val="008904F0"/>
    <w:rsid w:val="008961DA"/>
    <w:rsid w:val="008A7E8C"/>
    <w:rsid w:val="008B2F27"/>
    <w:rsid w:val="008B4A72"/>
    <w:rsid w:val="008B585E"/>
    <w:rsid w:val="008E6C0C"/>
    <w:rsid w:val="008F1E63"/>
    <w:rsid w:val="008F3052"/>
    <w:rsid w:val="008F7934"/>
    <w:rsid w:val="00901E19"/>
    <w:rsid w:val="009103E2"/>
    <w:rsid w:val="009214F7"/>
    <w:rsid w:val="00921CD7"/>
    <w:rsid w:val="009259CF"/>
    <w:rsid w:val="00940EB6"/>
    <w:rsid w:val="00944771"/>
    <w:rsid w:val="00946348"/>
    <w:rsid w:val="00950FF2"/>
    <w:rsid w:val="009601FC"/>
    <w:rsid w:val="00963DD0"/>
    <w:rsid w:val="00965426"/>
    <w:rsid w:val="0096654A"/>
    <w:rsid w:val="009711E4"/>
    <w:rsid w:val="00971572"/>
    <w:rsid w:val="00971D43"/>
    <w:rsid w:val="00974A61"/>
    <w:rsid w:val="00981E55"/>
    <w:rsid w:val="00986CEF"/>
    <w:rsid w:val="00987212"/>
    <w:rsid w:val="009A0E5F"/>
    <w:rsid w:val="009B5E7C"/>
    <w:rsid w:val="009D3019"/>
    <w:rsid w:val="009F1AF3"/>
    <w:rsid w:val="009F233E"/>
    <w:rsid w:val="00A024AB"/>
    <w:rsid w:val="00A050A5"/>
    <w:rsid w:val="00A05B8B"/>
    <w:rsid w:val="00A1372F"/>
    <w:rsid w:val="00A13FD4"/>
    <w:rsid w:val="00A170EC"/>
    <w:rsid w:val="00A217B3"/>
    <w:rsid w:val="00A23D04"/>
    <w:rsid w:val="00A243A3"/>
    <w:rsid w:val="00A277D9"/>
    <w:rsid w:val="00A30CEB"/>
    <w:rsid w:val="00A31318"/>
    <w:rsid w:val="00A503AD"/>
    <w:rsid w:val="00A5432A"/>
    <w:rsid w:val="00A55F8A"/>
    <w:rsid w:val="00A62A27"/>
    <w:rsid w:val="00A71F11"/>
    <w:rsid w:val="00A9550A"/>
    <w:rsid w:val="00A9670E"/>
    <w:rsid w:val="00AA1423"/>
    <w:rsid w:val="00AB7996"/>
    <w:rsid w:val="00AB7C13"/>
    <w:rsid w:val="00AC43C3"/>
    <w:rsid w:val="00AC7479"/>
    <w:rsid w:val="00AE2EAD"/>
    <w:rsid w:val="00AF4C8F"/>
    <w:rsid w:val="00AF77BE"/>
    <w:rsid w:val="00B079E3"/>
    <w:rsid w:val="00B07A68"/>
    <w:rsid w:val="00B108B5"/>
    <w:rsid w:val="00B11CEE"/>
    <w:rsid w:val="00B23428"/>
    <w:rsid w:val="00B25F1C"/>
    <w:rsid w:val="00B264BF"/>
    <w:rsid w:val="00B3387B"/>
    <w:rsid w:val="00B42379"/>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A0CBF"/>
    <w:rsid w:val="00BA2873"/>
    <w:rsid w:val="00BB1EB3"/>
    <w:rsid w:val="00BB4E38"/>
    <w:rsid w:val="00BC3879"/>
    <w:rsid w:val="00BD0E0D"/>
    <w:rsid w:val="00BD41BC"/>
    <w:rsid w:val="00BD55AD"/>
    <w:rsid w:val="00BE0305"/>
    <w:rsid w:val="00BE57A3"/>
    <w:rsid w:val="00BF15F0"/>
    <w:rsid w:val="00BF7DF9"/>
    <w:rsid w:val="00C03559"/>
    <w:rsid w:val="00C05395"/>
    <w:rsid w:val="00C22AD7"/>
    <w:rsid w:val="00C272C1"/>
    <w:rsid w:val="00C32A68"/>
    <w:rsid w:val="00C34282"/>
    <w:rsid w:val="00C35350"/>
    <w:rsid w:val="00C3564B"/>
    <w:rsid w:val="00C42B49"/>
    <w:rsid w:val="00C53721"/>
    <w:rsid w:val="00C64D2E"/>
    <w:rsid w:val="00C70F97"/>
    <w:rsid w:val="00C7497C"/>
    <w:rsid w:val="00C757A2"/>
    <w:rsid w:val="00C75966"/>
    <w:rsid w:val="00C76577"/>
    <w:rsid w:val="00C77C51"/>
    <w:rsid w:val="00C80225"/>
    <w:rsid w:val="00C80B66"/>
    <w:rsid w:val="00C81349"/>
    <w:rsid w:val="00C867DB"/>
    <w:rsid w:val="00C93139"/>
    <w:rsid w:val="00CA08A0"/>
    <w:rsid w:val="00CA2F0F"/>
    <w:rsid w:val="00CA32D2"/>
    <w:rsid w:val="00CA4E07"/>
    <w:rsid w:val="00CA737D"/>
    <w:rsid w:val="00CB1EF5"/>
    <w:rsid w:val="00CC05D4"/>
    <w:rsid w:val="00CC44E5"/>
    <w:rsid w:val="00CC708D"/>
    <w:rsid w:val="00CC7166"/>
    <w:rsid w:val="00CE2DA8"/>
    <w:rsid w:val="00CF5275"/>
    <w:rsid w:val="00CF6136"/>
    <w:rsid w:val="00D0023D"/>
    <w:rsid w:val="00D006C6"/>
    <w:rsid w:val="00D00B2D"/>
    <w:rsid w:val="00D14A65"/>
    <w:rsid w:val="00D162B9"/>
    <w:rsid w:val="00D21478"/>
    <w:rsid w:val="00D251E2"/>
    <w:rsid w:val="00D254F4"/>
    <w:rsid w:val="00D263A7"/>
    <w:rsid w:val="00D26B5D"/>
    <w:rsid w:val="00D33159"/>
    <w:rsid w:val="00D33A19"/>
    <w:rsid w:val="00D35361"/>
    <w:rsid w:val="00D355B5"/>
    <w:rsid w:val="00D42AD0"/>
    <w:rsid w:val="00D43DC3"/>
    <w:rsid w:val="00D51791"/>
    <w:rsid w:val="00D5281E"/>
    <w:rsid w:val="00D6531B"/>
    <w:rsid w:val="00D6612D"/>
    <w:rsid w:val="00D71AD9"/>
    <w:rsid w:val="00D73C02"/>
    <w:rsid w:val="00D872ED"/>
    <w:rsid w:val="00D913C6"/>
    <w:rsid w:val="00D961FD"/>
    <w:rsid w:val="00D9651C"/>
    <w:rsid w:val="00D96DD4"/>
    <w:rsid w:val="00DA0236"/>
    <w:rsid w:val="00DA5D51"/>
    <w:rsid w:val="00DA5E29"/>
    <w:rsid w:val="00DA61CA"/>
    <w:rsid w:val="00DB5623"/>
    <w:rsid w:val="00DB66BB"/>
    <w:rsid w:val="00DB73AF"/>
    <w:rsid w:val="00DC2865"/>
    <w:rsid w:val="00DC51CC"/>
    <w:rsid w:val="00DD0894"/>
    <w:rsid w:val="00DD5C9C"/>
    <w:rsid w:val="00DE1888"/>
    <w:rsid w:val="00DE4A35"/>
    <w:rsid w:val="00DF1250"/>
    <w:rsid w:val="00DF6EF7"/>
    <w:rsid w:val="00E028B0"/>
    <w:rsid w:val="00E05454"/>
    <w:rsid w:val="00E05A0E"/>
    <w:rsid w:val="00E074C3"/>
    <w:rsid w:val="00E230FA"/>
    <w:rsid w:val="00E23329"/>
    <w:rsid w:val="00E24D6D"/>
    <w:rsid w:val="00E341B2"/>
    <w:rsid w:val="00E42633"/>
    <w:rsid w:val="00E47E0F"/>
    <w:rsid w:val="00E5699E"/>
    <w:rsid w:val="00E570E1"/>
    <w:rsid w:val="00E655AF"/>
    <w:rsid w:val="00E70F41"/>
    <w:rsid w:val="00E72773"/>
    <w:rsid w:val="00E76739"/>
    <w:rsid w:val="00E81946"/>
    <w:rsid w:val="00E82BB7"/>
    <w:rsid w:val="00E83C34"/>
    <w:rsid w:val="00E86D13"/>
    <w:rsid w:val="00E910B9"/>
    <w:rsid w:val="00E936C2"/>
    <w:rsid w:val="00E94D68"/>
    <w:rsid w:val="00E94DFE"/>
    <w:rsid w:val="00E95346"/>
    <w:rsid w:val="00EA0CEF"/>
    <w:rsid w:val="00EA2E2A"/>
    <w:rsid w:val="00EB79D2"/>
    <w:rsid w:val="00EC0174"/>
    <w:rsid w:val="00ED209C"/>
    <w:rsid w:val="00ED3EEB"/>
    <w:rsid w:val="00ED5749"/>
    <w:rsid w:val="00ED5FA3"/>
    <w:rsid w:val="00ED68C4"/>
    <w:rsid w:val="00ED6A4E"/>
    <w:rsid w:val="00ED72EA"/>
    <w:rsid w:val="00EE3A4F"/>
    <w:rsid w:val="00EF10C3"/>
    <w:rsid w:val="00EF3B06"/>
    <w:rsid w:val="00EF3BD2"/>
    <w:rsid w:val="00F16BCE"/>
    <w:rsid w:val="00F17733"/>
    <w:rsid w:val="00F36382"/>
    <w:rsid w:val="00F45DA1"/>
    <w:rsid w:val="00F5267B"/>
    <w:rsid w:val="00F53E8B"/>
    <w:rsid w:val="00F570A2"/>
    <w:rsid w:val="00F623E3"/>
    <w:rsid w:val="00F663FD"/>
    <w:rsid w:val="00F7127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D6BD0"/>
    <w:rsid w:val="00FE0D93"/>
    <w:rsid w:val="00FE6266"/>
    <w:rsid w:val="00FF2572"/>
    <w:rsid w:val="00FF32AD"/>
    <w:rsid w:val="0DC31556"/>
    <w:rsid w:val="1A3D6143"/>
    <w:rsid w:val="1C013801"/>
    <w:rsid w:val="2D527252"/>
    <w:rsid w:val="2EAE55F2"/>
    <w:rsid w:val="2EDF4302"/>
    <w:rsid w:val="47550EBA"/>
    <w:rsid w:val="6636451A"/>
    <w:rsid w:val="6EF65E9C"/>
    <w:rsid w:val="71397E03"/>
    <w:rsid w:val="73655DEE"/>
    <w:rsid w:val="77FFA8F9"/>
    <w:rsid w:val="7A9314AC"/>
    <w:rsid w:val="7C631402"/>
    <w:rsid w:val="7E140770"/>
    <w:rsid w:val="7FEFB5DD"/>
    <w:rsid w:val="B5F66F24"/>
    <w:rsid w:val="C5B3F496"/>
    <w:rsid w:val="DDD7453A"/>
    <w:rsid w:val="DFE75A3D"/>
    <w:rsid w:val="DFEF594B"/>
    <w:rsid w:val="F1F9A9B5"/>
    <w:rsid w:val="FABF7411"/>
    <w:rsid w:val="FEFD95B3"/>
    <w:rsid w:val="FF2E6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ocument Map"/>
    <w:basedOn w:val="1"/>
    <w:link w:val="13"/>
    <w:qFormat/>
    <w:uiPriority w:val="0"/>
    <w:rPr>
      <w:rFonts w:ascii="宋体" w:eastAsia="宋体"/>
      <w:sz w:val="18"/>
      <w:szCs w:val="18"/>
    </w:rPr>
  </w:style>
  <w:style w:type="paragraph" w:styleId="3">
    <w:name w:val="Plain Text"/>
    <w:basedOn w:val="1"/>
    <w:link w:val="19"/>
    <w:uiPriority w:val="0"/>
    <w:rPr>
      <w:rFonts w:ascii="宋体" w:hAnsi="Courier New" w:eastAsia="宋体"/>
      <w:sz w:val="21"/>
    </w:rPr>
  </w:style>
  <w:style w:type="paragraph" w:styleId="4">
    <w:name w:val="Balloon Text"/>
    <w:basedOn w:val="1"/>
    <w:semiHidden/>
    <w:qFormat/>
    <w:uiPriority w:val="0"/>
    <w:rPr>
      <w:sz w:val="18"/>
      <w:szCs w:val="18"/>
    </w:rPr>
  </w:style>
  <w:style w:type="paragraph" w:styleId="5">
    <w:name w:val="footer"/>
    <w:basedOn w:val="1"/>
    <w:link w:val="15"/>
    <w:qFormat/>
    <w:uiPriority w:val="99"/>
    <w:pPr>
      <w:tabs>
        <w:tab w:val="center" w:pos="4153"/>
        <w:tab w:val="right" w:pos="8306"/>
      </w:tabs>
      <w:snapToGrid w:val="0"/>
      <w:jc w:val="left"/>
    </w:pPr>
    <w:rPr>
      <w:rFonts w:eastAsia="宋体"/>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customStyle="1" w:styleId="11">
    <w:name w:val="四号正文"/>
    <w:basedOn w:val="1"/>
    <w:link w:val="12"/>
    <w:qFormat/>
    <w:uiPriority w:val="0"/>
    <w:pPr>
      <w:spacing w:line="360" w:lineRule="auto"/>
    </w:pPr>
    <w:rPr>
      <w:rFonts w:ascii="??" w:hAnsi="??" w:eastAsia="宋体" w:cs="宋体"/>
      <w:color w:val="000000"/>
      <w:kern w:val="0"/>
      <w:sz w:val="28"/>
      <w:szCs w:val="21"/>
    </w:rPr>
  </w:style>
  <w:style w:type="character" w:customStyle="1" w:styleId="12">
    <w:name w:val="四号正文 Char"/>
    <w:basedOn w:val="9"/>
    <w:link w:val="11"/>
    <w:qFormat/>
    <w:uiPriority w:val="0"/>
    <w:rPr>
      <w:rFonts w:ascii="??" w:hAnsi="??" w:eastAsia="宋体" w:cs="宋体"/>
      <w:color w:val="000000"/>
      <w:sz w:val="28"/>
      <w:szCs w:val="21"/>
      <w:lang w:val="en-US" w:eastAsia="zh-CN" w:bidi="ar-SA"/>
    </w:rPr>
  </w:style>
  <w:style w:type="character" w:customStyle="1" w:styleId="13">
    <w:name w:val="文档结构图 字符"/>
    <w:basedOn w:val="9"/>
    <w:link w:val="2"/>
    <w:qFormat/>
    <w:uiPriority w:val="0"/>
    <w:rPr>
      <w:rFonts w:ascii="宋体"/>
      <w:kern w:val="2"/>
      <w:sz w:val="18"/>
      <w:szCs w:val="18"/>
    </w:rPr>
  </w:style>
  <w:style w:type="paragraph" w:customStyle="1" w:styleId="14">
    <w:name w:val="a"/>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5">
    <w:name w:val="页脚 字符"/>
    <w:basedOn w:val="9"/>
    <w:link w:val="5"/>
    <w:qFormat/>
    <w:uiPriority w:val="99"/>
    <w:rPr>
      <w:kern w:val="2"/>
      <w:sz w:val="18"/>
      <w:szCs w:val="18"/>
    </w:rPr>
  </w:style>
  <w:style w:type="character" w:customStyle="1" w:styleId="16">
    <w:name w:val="font31"/>
    <w:basedOn w:val="9"/>
    <w:qFormat/>
    <w:uiPriority w:val="0"/>
    <w:rPr>
      <w:rFonts w:hint="eastAsia" w:ascii="宋体" w:hAnsi="宋体" w:eastAsia="宋体" w:cs="宋体"/>
      <w:color w:val="000000"/>
      <w:sz w:val="24"/>
      <w:szCs w:val="24"/>
      <w:u w:val="none"/>
    </w:rPr>
  </w:style>
  <w:style w:type="paragraph" w:styleId="17">
    <w:name w:val="List Paragraph"/>
    <w:basedOn w:val="1"/>
    <w:uiPriority w:val="99"/>
    <w:pPr>
      <w:ind w:firstLine="420" w:firstLineChars="200"/>
    </w:pPr>
  </w:style>
  <w:style w:type="character" w:customStyle="1" w:styleId="18">
    <w:name w:val="纯文本 字符"/>
    <w:basedOn w:val="9"/>
    <w:uiPriority w:val="0"/>
    <w:rPr>
      <w:rFonts w:hAnsi="Courier New" w:cs="Courier New" w:asciiTheme="minorEastAsia" w:eastAsiaTheme="minorEastAsia"/>
      <w:kern w:val="2"/>
      <w:sz w:val="32"/>
      <w:szCs w:val="24"/>
    </w:rPr>
  </w:style>
  <w:style w:type="character" w:customStyle="1" w:styleId="19">
    <w:name w:val="纯文本 字符1"/>
    <w:link w:val="3"/>
    <w:uiPriority w:val="0"/>
    <w:rPr>
      <w:rFonts w:ascii="宋体" w:hAnsi="Courier New"/>
      <w:kern w:val="2"/>
      <w:sz w:val="21"/>
      <w:szCs w:val="24"/>
    </w:rPr>
  </w:style>
  <w:style w:type="paragraph" w:customStyle="1" w:styleId="20">
    <w:name w:val="纯文本 + (西文) Calibri"/>
    <w:basedOn w:val="3"/>
    <w:link w:val="21"/>
    <w:uiPriority w:val="0"/>
    <w:pPr>
      <w:spacing w:line="600" w:lineRule="exact"/>
      <w:ind w:left="160" w:leftChars="76" w:firstLine="800" w:firstLineChars="250"/>
      <w:jc w:val="left"/>
    </w:pPr>
    <w:rPr>
      <w:rFonts w:ascii="仿宋_GB2312" w:hAnsi="仿宋_GB2312" w:eastAsia="仿宋_GB2312" w:cs="仿宋_GB2312"/>
      <w:sz w:val="32"/>
      <w:szCs w:val="32"/>
    </w:rPr>
  </w:style>
  <w:style w:type="character" w:customStyle="1" w:styleId="21">
    <w:name w:val="纯文本 + (西文) Calibri Char"/>
    <w:link w:val="20"/>
    <w:uiPriority w:val="0"/>
    <w:rPr>
      <w:rFonts w:ascii="仿宋_GB2312" w:hAnsi="仿宋_GB2312" w:eastAsia="仿宋_GB2312" w:cs="仿宋_GB2312"/>
      <w:kern w:val="2"/>
      <w:sz w:val="32"/>
      <w:szCs w:val="32"/>
    </w:rPr>
  </w:style>
  <w:style w:type="character" w:customStyle="1" w:styleId="22">
    <w:name w:val="纯文本 Char"/>
    <w:uiPriority w:val="0"/>
    <w:rPr>
      <w:rFonts w:ascii="宋体" w:hAnsi="Courier New"/>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PSZX</Company>
  <Pages>7</Pages>
  <Words>3374</Words>
  <Characters>3528</Characters>
  <Lines>25</Lines>
  <Paragraphs>7</Paragraphs>
  <TotalTime>605</TotalTime>
  <ScaleCrop>false</ScaleCrop>
  <LinksUpToDate>false</LinksUpToDate>
  <CharactersWithSpaces>3536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2019-05-16T11:06:00Z</dcterms:created>
  <dc:creator>陈萍</dc:creator>
  <cp:lastModifiedBy>何时有天明</cp:lastModifiedBy>
  <cp:lastPrinted>2022-03-26T08:26:00Z</cp:lastPrinted>
  <dcterms:modified xsi:type="dcterms:W3CDTF">2025-01-08T02:16:13Z</dcterms:modified>
  <dc:title>区域性就业培训基地建设项目</dc:title>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eyJoZGlkIjoiNTlkOGFlZjUyODljMzlmYmEwZWVjOTgxM2Y1ODBiYzAiLCJ1c2VySWQiOiI5NTM3NzI5OTEifQ==</vt:lpwstr>
  </property>
  <property fmtid="{D5CDD505-2E9C-101B-9397-08002B2CF9AE}" pid="4" name="ICV">
    <vt:lpwstr>034A157101364BFC8951DEA46AEAFD57_12</vt:lpwstr>
  </property>
</Properties>
</file>